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haansoftxlsx"/>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D193CA" w14:textId="77777777" w:rsidR="009D3F43" w:rsidRPr="000F3C9F" w:rsidRDefault="009D3F43" w:rsidP="004B6A10">
      <w:pPr>
        <w:rPr>
          <w:rFonts w:asciiTheme="minorHAnsi" w:eastAsiaTheme="minorHAnsi" w:hAnsiTheme="minorHAnsi" w:cs="Arial Unicode MS"/>
          <w:b/>
          <w:sz w:val="21"/>
        </w:rPr>
      </w:pPr>
    </w:p>
    <w:tbl>
      <w:tblPr>
        <w:tblStyle w:val="a9"/>
        <w:tblW w:w="0" w:type="auto"/>
        <w:jc w:val="center"/>
        <w:tblLayout w:type="fixed"/>
        <w:tblCellMar>
          <w:left w:w="0" w:type="dxa"/>
          <w:right w:w="0" w:type="dxa"/>
        </w:tblCellMar>
        <w:tblLook w:val="04A0" w:firstRow="1" w:lastRow="0" w:firstColumn="1" w:lastColumn="0" w:noHBand="0" w:noVBand="1"/>
      </w:tblPr>
      <w:tblGrid>
        <w:gridCol w:w="2268"/>
        <w:gridCol w:w="887"/>
        <w:gridCol w:w="4783"/>
        <w:gridCol w:w="1033"/>
      </w:tblGrid>
      <w:tr w:rsidR="003A715C" w14:paraId="0DA5EECB" w14:textId="561FF0CF" w:rsidTr="00DD5444">
        <w:trPr>
          <w:trHeight w:val="1793"/>
          <w:jc w:val="center"/>
        </w:trPr>
        <w:tc>
          <w:tcPr>
            <w:tcW w:w="2268" w:type="dxa"/>
            <w:tcBorders>
              <w:top w:val="nil"/>
              <w:left w:val="nil"/>
              <w:bottom w:val="nil"/>
              <w:right w:val="nil"/>
            </w:tcBorders>
          </w:tcPr>
          <w:p w14:paraId="2A451D53" w14:textId="1FAFA179" w:rsidR="003A715C" w:rsidRDefault="003A715C" w:rsidP="004B6A10">
            <w:pPr>
              <w:rPr>
                <w:rFonts w:asciiTheme="minorHAnsi" w:eastAsiaTheme="minorHAnsi" w:hAnsiTheme="minorHAnsi" w:cs="Arial Unicode MS"/>
                <w:b/>
                <w:sz w:val="32"/>
              </w:rPr>
            </w:pPr>
            <w:r>
              <w:rPr>
                <w:rFonts w:asciiTheme="minorHAnsi" w:eastAsiaTheme="minorHAnsi" w:hAnsiTheme="minorHAnsi" w:cs="Arial Unicode MS" w:hint="eastAsia"/>
                <w:b/>
                <w:noProof/>
                <w:sz w:val="32"/>
              </w:rPr>
              <w:drawing>
                <wp:inline distT="0" distB="0" distL="0" distR="0" wp14:anchorId="1DBD9D1C" wp14:editId="608490D6">
                  <wp:extent cx="1161468" cy="1161468"/>
                  <wp:effectExtent l="0" t="0" r="6985" b="6985"/>
                  <wp:docPr id="3" name="그림 3" descr="../Desktop/issuebrief%20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ssuebrief%20logo-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474" cy="1162474"/>
                          </a:xfrm>
                          <a:prstGeom prst="rect">
                            <a:avLst/>
                          </a:prstGeom>
                          <a:noFill/>
                          <a:ln>
                            <a:noFill/>
                          </a:ln>
                        </pic:spPr>
                      </pic:pic>
                    </a:graphicData>
                  </a:graphic>
                </wp:inline>
              </w:drawing>
            </w:r>
          </w:p>
        </w:tc>
        <w:tc>
          <w:tcPr>
            <w:tcW w:w="5670" w:type="dxa"/>
            <w:gridSpan w:val="2"/>
            <w:tcBorders>
              <w:top w:val="nil"/>
              <w:left w:val="nil"/>
              <w:bottom w:val="single" w:sz="8" w:space="0" w:color="808080" w:themeColor="background1" w:themeShade="80"/>
              <w:right w:val="nil"/>
            </w:tcBorders>
            <w:vAlign w:val="bottom"/>
          </w:tcPr>
          <w:p w14:paraId="004F548A" w14:textId="77777777" w:rsidR="00BC487B" w:rsidRDefault="00DA7047" w:rsidP="00456D98">
            <w:pPr>
              <w:snapToGrid w:val="0"/>
              <w:spacing w:line="192" w:lineRule="auto"/>
              <w:rPr>
                <w:rFonts w:asciiTheme="minorHAnsi" w:eastAsiaTheme="minorHAnsi" w:hAnsiTheme="minorHAnsi" w:cs="Arial Unicode MS" w:hint="eastAsia"/>
                <w:b/>
                <w:color w:val="003E30"/>
                <w:sz w:val="35"/>
                <w:szCs w:val="35"/>
              </w:rPr>
            </w:pPr>
            <w:r>
              <w:rPr>
                <w:rFonts w:asciiTheme="minorHAnsi" w:eastAsiaTheme="minorHAnsi" w:hAnsiTheme="minorHAnsi" w:cs="Arial Unicode MS" w:hint="eastAsia"/>
                <w:b/>
                <w:color w:val="003E30"/>
                <w:sz w:val="35"/>
                <w:szCs w:val="35"/>
              </w:rPr>
              <w:t>A Targeted App</w:t>
            </w:r>
            <w:r w:rsidR="00973AA6">
              <w:rPr>
                <w:rFonts w:asciiTheme="minorHAnsi" w:eastAsiaTheme="minorHAnsi" w:hAnsiTheme="minorHAnsi" w:cs="Arial Unicode MS" w:hint="eastAsia"/>
                <w:b/>
                <w:color w:val="003E30"/>
                <w:sz w:val="35"/>
                <w:szCs w:val="35"/>
              </w:rPr>
              <w:t xml:space="preserve">roach to Increasing Fertility: </w:t>
            </w:r>
          </w:p>
          <w:p w14:paraId="3F74FEB5" w14:textId="7E6AE84D" w:rsidR="00A25810" w:rsidRPr="00456D98" w:rsidRDefault="00973AA6" w:rsidP="00456D98">
            <w:pPr>
              <w:snapToGrid w:val="0"/>
              <w:spacing w:line="192" w:lineRule="auto"/>
              <w:rPr>
                <w:rFonts w:asciiTheme="minorHAnsi" w:eastAsiaTheme="minorHAnsi" w:hAnsiTheme="minorHAnsi" w:cs="Arial Unicode MS"/>
                <w:b/>
                <w:color w:val="003E30"/>
                <w:sz w:val="35"/>
                <w:szCs w:val="35"/>
              </w:rPr>
            </w:pPr>
            <w:r>
              <w:rPr>
                <w:rFonts w:asciiTheme="minorHAnsi" w:eastAsiaTheme="minorHAnsi" w:hAnsiTheme="minorHAnsi" w:cs="Arial Unicode MS" w:hint="eastAsia"/>
                <w:b/>
                <w:color w:val="003E30"/>
                <w:sz w:val="35"/>
                <w:szCs w:val="35"/>
              </w:rPr>
              <w:t>W</w:t>
            </w:r>
            <w:r w:rsidR="00DA7047">
              <w:rPr>
                <w:rFonts w:asciiTheme="minorHAnsi" w:eastAsiaTheme="minorHAnsi" w:hAnsiTheme="minorHAnsi" w:cs="Arial Unicode MS" w:hint="eastAsia"/>
                <w:b/>
                <w:color w:val="003E30"/>
                <w:sz w:val="35"/>
                <w:szCs w:val="35"/>
              </w:rPr>
              <w:t>hich age group</w:t>
            </w:r>
            <w:r w:rsidR="00661752" w:rsidRPr="00D44922">
              <w:rPr>
                <w:rFonts w:asciiTheme="minorHAnsi" w:eastAsiaTheme="minorHAnsi" w:hAnsiTheme="minorHAnsi" w:cs="Arial Unicode MS"/>
                <w:b/>
                <w:color w:val="003E30"/>
                <w:sz w:val="35"/>
                <w:szCs w:val="35"/>
              </w:rPr>
              <w:t>s</w:t>
            </w:r>
            <w:r w:rsidR="00DA7047">
              <w:rPr>
                <w:rFonts w:asciiTheme="minorHAnsi" w:eastAsiaTheme="minorHAnsi" w:hAnsiTheme="minorHAnsi" w:cs="Arial Unicode MS" w:hint="eastAsia"/>
                <w:b/>
                <w:color w:val="003E30"/>
                <w:sz w:val="35"/>
                <w:szCs w:val="35"/>
              </w:rPr>
              <w:t xml:space="preserve"> hold key </w:t>
            </w:r>
            <w:bookmarkStart w:id="0" w:name="_GoBack"/>
            <w:bookmarkEnd w:id="0"/>
            <w:r w:rsidR="00DA7047">
              <w:rPr>
                <w:rFonts w:asciiTheme="minorHAnsi" w:eastAsiaTheme="minorHAnsi" w:hAnsiTheme="minorHAnsi" w:cs="Arial Unicode MS" w:hint="eastAsia"/>
                <w:b/>
                <w:color w:val="003E30"/>
                <w:sz w:val="35"/>
                <w:szCs w:val="35"/>
              </w:rPr>
              <w:t>to solving the low fertility problem?</w:t>
            </w:r>
          </w:p>
        </w:tc>
        <w:tc>
          <w:tcPr>
            <w:tcW w:w="1033" w:type="dxa"/>
            <w:tcBorders>
              <w:top w:val="nil"/>
              <w:left w:val="nil"/>
              <w:bottom w:val="single" w:sz="8" w:space="0" w:color="808080" w:themeColor="background1" w:themeShade="80"/>
              <w:right w:val="nil"/>
            </w:tcBorders>
            <w:vAlign w:val="center"/>
          </w:tcPr>
          <w:p w14:paraId="22661F3A" w14:textId="77777777" w:rsidR="003A715C" w:rsidRPr="00D31DEB" w:rsidRDefault="003A715C" w:rsidP="003A715C">
            <w:pPr>
              <w:snapToGrid w:val="0"/>
              <w:spacing w:line="192" w:lineRule="auto"/>
              <w:rPr>
                <w:rFonts w:asciiTheme="minorHAnsi" w:eastAsiaTheme="minorHAnsi" w:hAnsiTheme="minorHAnsi" w:cs="Arial Unicode MS"/>
                <w:b/>
                <w:color w:val="003E30"/>
                <w:sz w:val="36"/>
              </w:rPr>
            </w:pPr>
          </w:p>
        </w:tc>
      </w:tr>
      <w:tr w:rsidR="00B43FBC" w14:paraId="02F43FF3" w14:textId="7AD2C290" w:rsidTr="00DD5444">
        <w:trPr>
          <w:trHeight w:val="463"/>
          <w:jc w:val="center"/>
        </w:trPr>
        <w:tc>
          <w:tcPr>
            <w:tcW w:w="2268" w:type="dxa"/>
            <w:tcBorders>
              <w:top w:val="nil"/>
              <w:left w:val="nil"/>
              <w:bottom w:val="nil"/>
              <w:right w:val="nil"/>
            </w:tcBorders>
            <w:vAlign w:val="center"/>
          </w:tcPr>
          <w:p w14:paraId="31C6A2B6" w14:textId="5976E4ED" w:rsidR="001A45D0" w:rsidRPr="00D800D4" w:rsidRDefault="001A45D0" w:rsidP="00CA73DE">
            <w:pPr>
              <w:jc w:val="both"/>
              <w:rPr>
                <w:rFonts w:asciiTheme="minorHAnsi" w:eastAsiaTheme="minorHAnsi" w:hAnsiTheme="minorHAnsi" w:cs="Arial Unicode MS"/>
                <w:b/>
              </w:rPr>
            </w:pPr>
            <w:r w:rsidRPr="00D800D4">
              <w:rPr>
                <w:rFonts w:asciiTheme="minorHAnsi" w:eastAsiaTheme="minorHAnsi" w:hAnsiTheme="minorHAnsi" w:cs="Arial Unicode MS" w:hint="eastAsia"/>
                <w:b/>
                <w:color w:val="808080" w:themeColor="background1" w:themeShade="80"/>
              </w:rPr>
              <w:t>201</w:t>
            </w:r>
            <w:r w:rsidR="00456D98">
              <w:rPr>
                <w:rFonts w:asciiTheme="minorHAnsi" w:eastAsiaTheme="minorHAnsi" w:hAnsiTheme="minorHAnsi" w:cs="Arial Unicode MS"/>
                <w:b/>
                <w:color w:val="808080" w:themeColor="background1" w:themeShade="80"/>
              </w:rPr>
              <w:t>7</w:t>
            </w:r>
            <w:r w:rsidRPr="00D800D4">
              <w:rPr>
                <w:rFonts w:asciiTheme="minorHAnsi" w:eastAsiaTheme="minorHAnsi" w:hAnsiTheme="minorHAnsi" w:cs="Arial Unicode MS" w:hint="eastAsia"/>
                <w:b/>
                <w:color w:val="808080" w:themeColor="background1" w:themeShade="80"/>
              </w:rPr>
              <w:t>-</w:t>
            </w:r>
            <w:r w:rsidR="00C11667">
              <w:rPr>
                <w:rFonts w:asciiTheme="minorHAnsi" w:eastAsiaTheme="minorHAnsi" w:hAnsiTheme="minorHAnsi" w:cs="Arial Unicode MS" w:hint="eastAsia"/>
                <w:b/>
                <w:color w:val="808080" w:themeColor="background1" w:themeShade="80"/>
              </w:rPr>
              <w:t>07</w:t>
            </w:r>
          </w:p>
        </w:tc>
        <w:tc>
          <w:tcPr>
            <w:tcW w:w="887" w:type="dxa"/>
            <w:vMerge w:val="restart"/>
            <w:tcBorders>
              <w:top w:val="single" w:sz="8" w:space="0" w:color="808080" w:themeColor="background1" w:themeShade="80"/>
              <w:left w:val="nil"/>
              <w:bottom w:val="nil"/>
              <w:right w:val="nil"/>
            </w:tcBorders>
            <w:vAlign w:val="center"/>
          </w:tcPr>
          <w:p w14:paraId="03E6D972" w14:textId="305D592C" w:rsidR="001A45D0" w:rsidRPr="00D800D4" w:rsidRDefault="001A45D0" w:rsidP="001A45D0">
            <w:pPr>
              <w:jc w:val="right"/>
              <w:rPr>
                <w:rFonts w:asciiTheme="minorHAnsi" w:eastAsiaTheme="minorHAnsi" w:hAnsiTheme="minorHAnsi" w:cs="Arial Unicode MS"/>
                <w:b/>
              </w:rPr>
            </w:pPr>
          </w:p>
        </w:tc>
        <w:tc>
          <w:tcPr>
            <w:tcW w:w="5816" w:type="dxa"/>
            <w:gridSpan w:val="2"/>
            <w:tcBorders>
              <w:top w:val="single" w:sz="8" w:space="0" w:color="808080" w:themeColor="background1" w:themeShade="80"/>
              <w:left w:val="nil"/>
              <w:bottom w:val="nil"/>
              <w:right w:val="nil"/>
            </w:tcBorders>
            <w:vAlign w:val="center"/>
          </w:tcPr>
          <w:p w14:paraId="027F13B0" w14:textId="5611100E" w:rsidR="001A45D0" w:rsidRPr="003E193C" w:rsidRDefault="003E193C" w:rsidP="003E193C">
            <w:pPr>
              <w:jc w:val="right"/>
              <w:rPr>
                <w:rFonts w:ascii="Times New Roman" w:eastAsiaTheme="minorHAnsi" w:hAnsi="Times New Roman" w:cs="Times New Roman"/>
                <w:b/>
                <w:sz w:val="26"/>
                <w:szCs w:val="26"/>
              </w:rPr>
            </w:pPr>
            <w:r w:rsidRPr="003E193C">
              <w:rPr>
                <w:rFonts w:ascii="Times New Roman" w:eastAsiaTheme="minorHAnsi" w:hAnsi="Times New Roman" w:cs="Times New Roman" w:hint="eastAsia"/>
                <w:b/>
                <w:sz w:val="26"/>
                <w:szCs w:val="26"/>
              </w:rPr>
              <w:t>Chong Woo Kim, Senior Fellow</w:t>
            </w:r>
          </w:p>
        </w:tc>
      </w:tr>
      <w:tr w:rsidR="00B43FBC" w:rsidRPr="003E193C" w14:paraId="156F18F0" w14:textId="01936E5C" w:rsidTr="00DD5444">
        <w:trPr>
          <w:trHeight w:val="176"/>
          <w:jc w:val="center"/>
        </w:trPr>
        <w:tc>
          <w:tcPr>
            <w:tcW w:w="2268" w:type="dxa"/>
            <w:vMerge w:val="restart"/>
            <w:tcBorders>
              <w:top w:val="nil"/>
              <w:left w:val="nil"/>
              <w:bottom w:val="nil"/>
              <w:right w:val="nil"/>
            </w:tcBorders>
          </w:tcPr>
          <w:p w14:paraId="6F461235" w14:textId="77777777" w:rsidR="001A45D0" w:rsidRPr="00D800D4" w:rsidRDefault="001A45D0" w:rsidP="004B6A10">
            <w:pPr>
              <w:rPr>
                <w:rFonts w:asciiTheme="minorHAnsi" w:eastAsiaTheme="minorHAnsi" w:hAnsiTheme="minorHAnsi" w:cs="Arial Unicode MS"/>
                <w:b/>
              </w:rPr>
            </w:pPr>
          </w:p>
        </w:tc>
        <w:tc>
          <w:tcPr>
            <w:tcW w:w="887" w:type="dxa"/>
            <w:vMerge/>
            <w:tcBorders>
              <w:top w:val="nil"/>
              <w:left w:val="nil"/>
              <w:bottom w:val="nil"/>
              <w:right w:val="nil"/>
            </w:tcBorders>
            <w:vAlign w:val="center"/>
          </w:tcPr>
          <w:p w14:paraId="6E297FFE" w14:textId="695CC358" w:rsidR="001A45D0" w:rsidRPr="00D800D4" w:rsidRDefault="001A45D0" w:rsidP="001A45D0">
            <w:pPr>
              <w:jc w:val="right"/>
              <w:rPr>
                <w:rFonts w:asciiTheme="minorHAnsi" w:eastAsiaTheme="minorHAnsi" w:hAnsiTheme="minorHAnsi" w:cs="Arial Unicode MS"/>
                <w:b/>
              </w:rPr>
            </w:pPr>
          </w:p>
        </w:tc>
        <w:tc>
          <w:tcPr>
            <w:tcW w:w="5816" w:type="dxa"/>
            <w:gridSpan w:val="2"/>
            <w:tcBorders>
              <w:top w:val="nil"/>
              <w:left w:val="nil"/>
              <w:bottom w:val="nil"/>
              <w:right w:val="nil"/>
            </w:tcBorders>
            <w:vAlign w:val="center"/>
          </w:tcPr>
          <w:p w14:paraId="0FFD6018" w14:textId="4CBC9898" w:rsidR="001A45D0" w:rsidRPr="003E193C" w:rsidRDefault="003E193C" w:rsidP="00635192">
            <w:pPr>
              <w:jc w:val="right"/>
              <w:rPr>
                <w:rFonts w:ascii="Times New Roman" w:eastAsiaTheme="minorHAnsi" w:hAnsi="Times New Roman" w:cs="Times New Roman"/>
              </w:rPr>
            </w:pPr>
            <w:r w:rsidRPr="003E193C">
              <w:rPr>
                <w:rFonts w:ascii="Times New Roman" w:eastAsiaTheme="minorHAnsi" w:hAnsi="Times New Roman" w:cs="Times New Roman"/>
              </w:rPr>
              <w:t xml:space="preserve">The </w:t>
            </w:r>
            <w:proofErr w:type="spellStart"/>
            <w:r w:rsidRPr="003E193C">
              <w:rPr>
                <w:rFonts w:ascii="Times New Roman" w:eastAsiaTheme="minorHAnsi" w:hAnsi="Times New Roman" w:cs="Times New Roman"/>
              </w:rPr>
              <w:t>Asan</w:t>
            </w:r>
            <w:proofErr w:type="spellEnd"/>
            <w:r w:rsidRPr="003E193C">
              <w:rPr>
                <w:rFonts w:ascii="Times New Roman" w:eastAsiaTheme="minorHAnsi" w:hAnsi="Times New Roman" w:cs="Times New Roman"/>
              </w:rPr>
              <w:t xml:space="preserve"> Institute for Policy Studies</w:t>
            </w:r>
          </w:p>
        </w:tc>
      </w:tr>
      <w:tr w:rsidR="003E193C" w14:paraId="15C3E106" w14:textId="618E47AA" w:rsidTr="00DD5444">
        <w:trPr>
          <w:trHeight w:val="284"/>
          <w:jc w:val="center"/>
        </w:trPr>
        <w:tc>
          <w:tcPr>
            <w:tcW w:w="2268" w:type="dxa"/>
            <w:vMerge/>
            <w:tcBorders>
              <w:top w:val="nil"/>
              <w:left w:val="nil"/>
              <w:bottom w:val="nil"/>
              <w:right w:val="nil"/>
            </w:tcBorders>
          </w:tcPr>
          <w:p w14:paraId="621C7EFC" w14:textId="77777777" w:rsidR="003E193C" w:rsidRPr="00D800D4" w:rsidRDefault="003E193C" w:rsidP="003E193C">
            <w:pPr>
              <w:rPr>
                <w:rFonts w:asciiTheme="minorHAnsi" w:eastAsiaTheme="minorHAnsi" w:hAnsiTheme="minorHAnsi" w:cs="Arial Unicode MS"/>
                <w:b/>
              </w:rPr>
            </w:pPr>
          </w:p>
        </w:tc>
        <w:tc>
          <w:tcPr>
            <w:tcW w:w="887" w:type="dxa"/>
            <w:vMerge/>
            <w:tcBorders>
              <w:top w:val="nil"/>
              <w:left w:val="nil"/>
              <w:bottom w:val="nil"/>
              <w:right w:val="nil"/>
            </w:tcBorders>
            <w:vAlign w:val="center"/>
          </w:tcPr>
          <w:p w14:paraId="3EA3868B" w14:textId="1633037C" w:rsidR="003E193C" w:rsidRPr="00D800D4" w:rsidRDefault="003E193C" w:rsidP="003E193C">
            <w:pPr>
              <w:jc w:val="right"/>
              <w:rPr>
                <w:rFonts w:asciiTheme="minorHAnsi" w:eastAsiaTheme="minorHAnsi" w:hAnsiTheme="minorHAnsi" w:cs="Arial Unicode MS"/>
                <w:b/>
              </w:rPr>
            </w:pPr>
          </w:p>
        </w:tc>
        <w:tc>
          <w:tcPr>
            <w:tcW w:w="5816" w:type="dxa"/>
            <w:gridSpan w:val="2"/>
            <w:tcBorders>
              <w:top w:val="nil"/>
              <w:left w:val="nil"/>
              <w:bottom w:val="nil"/>
              <w:right w:val="nil"/>
            </w:tcBorders>
            <w:vAlign w:val="center"/>
          </w:tcPr>
          <w:p w14:paraId="68B845AC" w14:textId="77777777" w:rsidR="001B0ED5" w:rsidRDefault="001B0ED5" w:rsidP="003E193C">
            <w:pPr>
              <w:jc w:val="right"/>
              <w:rPr>
                <w:rFonts w:ascii="Times New Roman" w:eastAsiaTheme="minorHAnsi" w:hAnsi="Times New Roman" w:cs="Times New Roman"/>
                <w:b/>
                <w:sz w:val="26"/>
                <w:szCs w:val="26"/>
              </w:rPr>
            </w:pPr>
          </w:p>
          <w:p w14:paraId="2A602125" w14:textId="4C546E08" w:rsidR="003E193C" w:rsidRPr="003E193C" w:rsidRDefault="003E193C" w:rsidP="003E193C">
            <w:pPr>
              <w:jc w:val="right"/>
              <w:rPr>
                <w:rFonts w:ascii="Times New Roman" w:eastAsiaTheme="minorHAnsi" w:hAnsi="Times New Roman" w:cs="Times New Roman"/>
                <w:b/>
                <w:sz w:val="26"/>
                <w:szCs w:val="26"/>
              </w:rPr>
            </w:pPr>
            <w:r w:rsidRPr="003E193C">
              <w:rPr>
                <w:rFonts w:ascii="Times New Roman" w:eastAsiaTheme="minorHAnsi" w:hAnsi="Times New Roman" w:cs="Times New Roman" w:hint="eastAsia"/>
                <w:b/>
                <w:sz w:val="26"/>
                <w:szCs w:val="26"/>
              </w:rPr>
              <w:t xml:space="preserve">Daniel </w:t>
            </w:r>
            <w:proofErr w:type="spellStart"/>
            <w:r w:rsidRPr="003E193C">
              <w:rPr>
                <w:rFonts w:ascii="Times New Roman" w:eastAsiaTheme="minorHAnsi" w:hAnsi="Times New Roman" w:cs="Times New Roman" w:hint="eastAsia"/>
                <w:b/>
                <w:sz w:val="26"/>
                <w:szCs w:val="26"/>
              </w:rPr>
              <w:t>Staetsky</w:t>
            </w:r>
            <w:proofErr w:type="spellEnd"/>
            <w:r w:rsidRPr="003E193C">
              <w:rPr>
                <w:rFonts w:ascii="Times New Roman" w:eastAsiaTheme="minorHAnsi" w:hAnsi="Times New Roman" w:cs="Times New Roman" w:hint="eastAsia"/>
                <w:b/>
                <w:sz w:val="26"/>
                <w:szCs w:val="26"/>
              </w:rPr>
              <w:t xml:space="preserve">, </w:t>
            </w:r>
            <w:r w:rsidRPr="00D44922">
              <w:rPr>
                <w:rFonts w:ascii="Times New Roman" w:eastAsiaTheme="minorHAnsi" w:hAnsi="Times New Roman" w:cs="Times New Roman" w:hint="eastAsia"/>
                <w:b/>
                <w:sz w:val="26"/>
                <w:szCs w:val="26"/>
              </w:rPr>
              <w:t xml:space="preserve">Senior </w:t>
            </w:r>
            <w:r w:rsidR="00661752" w:rsidRPr="00D44922">
              <w:rPr>
                <w:rFonts w:ascii="Times New Roman" w:eastAsiaTheme="minorHAnsi" w:hAnsi="Times New Roman" w:cs="Times New Roman"/>
                <w:b/>
                <w:sz w:val="26"/>
                <w:szCs w:val="26"/>
              </w:rPr>
              <w:t xml:space="preserve">Research </w:t>
            </w:r>
            <w:r w:rsidRPr="00D44922">
              <w:rPr>
                <w:rFonts w:ascii="Times New Roman" w:eastAsiaTheme="minorHAnsi" w:hAnsi="Times New Roman" w:cs="Times New Roman" w:hint="eastAsia"/>
                <w:b/>
                <w:sz w:val="26"/>
                <w:szCs w:val="26"/>
              </w:rPr>
              <w:t>Fell</w:t>
            </w:r>
            <w:r w:rsidRPr="003E193C">
              <w:rPr>
                <w:rFonts w:ascii="Times New Roman" w:eastAsiaTheme="minorHAnsi" w:hAnsi="Times New Roman" w:cs="Times New Roman" w:hint="eastAsia"/>
                <w:b/>
                <w:sz w:val="26"/>
                <w:szCs w:val="26"/>
              </w:rPr>
              <w:t>ow</w:t>
            </w:r>
          </w:p>
        </w:tc>
      </w:tr>
      <w:tr w:rsidR="003E193C" w14:paraId="53E28770" w14:textId="77777777" w:rsidTr="00DD5444">
        <w:trPr>
          <w:trHeight w:val="284"/>
          <w:jc w:val="center"/>
        </w:trPr>
        <w:tc>
          <w:tcPr>
            <w:tcW w:w="2268" w:type="dxa"/>
            <w:tcBorders>
              <w:top w:val="nil"/>
              <w:left w:val="nil"/>
              <w:bottom w:val="nil"/>
              <w:right w:val="nil"/>
            </w:tcBorders>
          </w:tcPr>
          <w:p w14:paraId="3AD7B907" w14:textId="77777777" w:rsidR="003E193C" w:rsidRPr="00D800D4" w:rsidRDefault="003E193C" w:rsidP="003E193C">
            <w:pPr>
              <w:rPr>
                <w:rFonts w:asciiTheme="minorHAnsi" w:eastAsiaTheme="minorHAnsi" w:hAnsiTheme="minorHAnsi" w:cs="Arial Unicode MS"/>
                <w:b/>
              </w:rPr>
            </w:pPr>
          </w:p>
        </w:tc>
        <w:tc>
          <w:tcPr>
            <w:tcW w:w="887" w:type="dxa"/>
            <w:tcBorders>
              <w:top w:val="nil"/>
              <w:left w:val="nil"/>
              <w:bottom w:val="nil"/>
              <w:right w:val="nil"/>
            </w:tcBorders>
            <w:vAlign w:val="center"/>
          </w:tcPr>
          <w:p w14:paraId="00E20FFF" w14:textId="77777777" w:rsidR="003E193C" w:rsidRPr="00D800D4" w:rsidRDefault="003E193C" w:rsidP="003E193C">
            <w:pPr>
              <w:jc w:val="right"/>
              <w:rPr>
                <w:rFonts w:asciiTheme="minorHAnsi" w:eastAsiaTheme="minorHAnsi" w:hAnsiTheme="minorHAnsi" w:cs="Arial Unicode MS"/>
                <w:b/>
              </w:rPr>
            </w:pPr>
          </w:p>
        </w:tc>
        <w:tc>
          <w:tcPr>
            <w:tcW w:w="5816" w:type="dxa"/>
            <w:gridSpan w:val="2"/>
            <w:tcBorders>
              <w:top w:val="nil"/>
              <w:left w:val="nil"/>
              <w:bottom w:val="nil"/>
              <w:right w:val="nil"/>
            </w:tcBorders>
            <w:vAlign w:val="center"/>
          </w:tcPr>
          <w:p w14:paraId="7B8C63ED" w14:textId="5B460D51" w:rsidR="003E193C" w:rsidRPr="003E193C" w:rsidRDefault="003E193C" w:rsidP="003E193C">
            <w:pPr>
              <w:jc w:val="right"/>
              <w:rPr>
                <w:rFonts w:ascii="Times New Roman" w:eastAsiaTheme="minorHAnsi" w:hAnsi="Times New Roman" w:cs="Times New Roman"/>
              </w:rPr>
            </w:pPr>
            <w:r w:rsidRPr="003E193C">
              <w:rPr>
                <w:rFonts w:ascii="Times New Roman" w:eastAsiaTheme="minorHAnsi" w:hAnsi="Times New Roman" w:cs="Times New Roman"/>
              </w:rPr>
              <w:t>Institute for Jewish Policy Research, London</w:t>
            </w:r>
          </w:p>
        </w:tc>
      </w:tr>
      <w:tr w:rsidR="003E193C" w14:paraId="22460F5B" w14:textId="77777777" w:rsidTr="00DD5444">
        <w:trPr>
          <w:trHeight w:val="284"/>
          <w:jc w:val="center"/>
        </w:trPr>
        <w:tc>
          <w:tcPr>
            <w:tcW w:w="2268" w:type="dxa"/>
            <w:tcBorders>
              <w:top w:val="nil"/>
              <w:left w:val="nil"/>
              <w:bottom w:val="nil"/>
              <w:right w:val="nil"/>
            </w:tcBorders>
          </w:tcPr>
          <w:p w14:paraId="34F3CCC5" w14:textId="77777777" w:rsidR="003E193C" w:rsidRPr="00D800D4" w:rsidRDefault="003E193C" w:rsidP="003E193C">
            <w:pPr>
              <w:rPr>
                <w:rFonts w:asciiTheme="minorHAnsi" w:eastAsiaTheme="minorHAnsi" w:hAnsiTheme="minorHAnsi" w:cs="Arial Unicode MS"/>
                <w:b/>
              </w:rPr>
            </w:pPr>
          </w:p>
        </w:tc>
        <w:tc>
          <w:tcPr>
            <w:tcW w:w="887" w:type="dxa"/>
            <w:tcBorders>
              <w:top w:val="nil"/>
              <w:left w:val="nil"/>
              <w:bottom w:val="nil"/>
              <w:right w:val="nil"/>
            </w:tcBorders>
            <w:vAlign w:val="center"/>
          </w:tcPr>
          <w:p w14:paraId="08036455" w14:textId="77777777" w:rsidR="003E193C" w:rsidRPr="00D800D4" w:rsidRDefault="003E193C" w:rsidP="003E193C">
            <w:pPr>
              <w:jc w:val="right"/>
              <w:rPr>
                <w:rFonts w:asciiTheme="minorHAnsi" w:eastAsiaTheme="minorHAnsi" w:hAnsiTheme="minorHAnsi" w:cs="Arial Unicode MS"/>
                <w:b/>
              </w:rPr>
            </w:pPr>
          </w:p>
        </w:tc>
        <w:tc>
          <w:tcPr>
            <w:tcW w:w="5816" w:type="dxa"/>
            <w:gridSpan w:val="2"/>
            <w:tcBorders>
              <w:top w:val="nil"/>
              <w:left w:val="nil"/>
              <w:bottom w:val="nil"/>
              <w:right w:val="nil"/>
            </w:tcBorders>
            <w:vAlign w:val="center"/>
          </w:tcPr>
          <w:p w14:paraId="052CC9CA" w14:textId="2B9E9033" w:rsidR="003E193C" w:rsidRPr="004B5E82" w:rsidRDefault="003E193C" w:rsidP="003E193C">
            <w:pPr>
              <w:jc w:val="right"/>
              <w:rPr>
                <w:rFonts w:asciiTheme="minorHAnsi" w:eastAsiaTheme="minorHAnsi" w:hAnsiTheme="minorHAnsi" w:cs="Arial Unicode MS"/>
                <w:sz w:val="18"/>
                <w:szCs w:val="18"/>
              </w:rPr>
            </w:pPr>
            <w:r>
              <w:rPr>
                <w:rFonts w:asciiTheme="minorHAnsi" w:eastAsiaTheme="minorHAnsi" w:hAnsiTheme="minorHAnsi" w:cs="Arial Unicode MS" w:hint="eastAsia"/>
                <w:sz w:val="18"/>
                <w:szCs w:val="18"/>
              </w:rPr>
              <w:t>2017</w:t>
            </w:r>
            <w:r w:rsidRPr="004B5E82">
              <w:rPr>
                <w:rFonts w:asciiTheme="minorHAnsi" w:eastAsiaTheme="minorHAnsi" w:hAnsiTheme="minorHAnsi" w:cs="Arial Unicode MS" w:hint="eastAsia"/>
                <w:sz w:val="18"/>
                <w:szCs w:val="18"/>
              </w:rPr>
              <w:t>.</w:t>
            </w:r>
            <w:r w:rsidR="00481F10">
              <w:rPr>
                <w:rFonts w:asciiTheme="minorHAnsi" w:eastAsiaTheme="minorHAnsi" w:hAnsiTheme="minorHAnsi" w:cs="Arial Unicode MS" w:hint="eastAsia"/>
                <w:sz w:val="18"/>
                <w:szCs w:val="18"/>
              </w:rPr>
              <w:t>02</w:t>
            </w:r>
            <w:r w:rsidRPr="004B5E82">
              <w:rPr>
                <w:rFonts w:asciiTheme="minorHAnsi" w:eastAsiaTheme="minorHAnsi" w:hAnsiTheme="minorHAnsi" w:cs="Arial Unicode MS" w:hint="eastAsia"/>
                <w:sz w:val="18"/>
                <w:szCs w:val="18"/>
              </w:rPr>
              <w:t>.</w:t>
            </w:r>
            <w:r w:rsidR="008C62C3">
              <w:rPr>
                <w:rFonts w:asciiTheme="minorHAnsi" w:eastAsiaTheme="minorHAnsi" w:hAnsiTheme="minorHAnsi" w:cs="Arial Unicode MS" w:hint="eastAsia"/>
                <w:sz w:val="18"/>
                <w:szCs w:val="18"/>
              </w:rPr>
              <w:t>08</w:t>
            </w:r>
          </w:p>
        </w:tc>
      </w:tr>
    </w:tbl>
    <w:p w14:paraId="54A66DDF" w14:textId="77777777" w:rsidR="003E193C" w:rsidRPr="003E193C" w:rsidRDefault="003E193C" w:rsidP="003E193C">
      <w:pPr>
        <w:widowControl w:val="0"/>
        <w:wordWrap w:val="0"/>
        <w:autoSpaceDE w:val="0"/>
        <w:autoSpaceDN w:val="0"/>
        <w:spacing w:after="200"/>
        <w:jc w:val="both"/>
        <w:rPr>
          <w:rFonts w:ascii="Calibri" w:eastAsia="맑은 고딕" w:hAnsi="Calibri" w:cs="Calibri"/>
          <w:b/>
          <w:color w:val="auto"/>
          <w:kern w:val="2"/>
        </w:rPr>
      </w:pPr>
      <w:r w:rsidRPr="003E193C">
        <w:rPr>
          <w:rFonts w:ascii="Calibri" w:eastAsia="맑은 고딕" w:hAnsi="Calibri" w:cs="Calibri" w:hint="eastAsia"/>
          <w:b/>
          <w:color w:val="auto"/>
          <w:kern w:val="2"/>
        </w:rPr>
        <w:t>Executive Summary</w:t>
      </w:r>
      <w:r w:rsidRPr="003E193C">
        <w:rPr>
          <w:rFonts w:ascii="Calibri" w:eastAsia="맑은 고딕" w:hAnsi="Calibri" w:cs="Calibri"/>
          <w:b/>
          <w:color w:val="auto"/>
          <w:kern w:val="2"/>
        </w:rPr>
        <w:t xml:space="preserve"> </w:t>
      </w:r>
    </w:p>
    <w:p w14:paraId="0FD1E785" w14:textId="77777777" w:rsidR="003E193C" w:rsidRPr="003E193C" w:rsidRDefault="003E193C" w:rsidP="003E193C">
      <w:pPr>
        <w:widowControl w:val="0"/>
        <w:numPr>
          <w:ilvl w:val="0"/>
          <w:numId w:val="3"/>
        </w:numPr>
        <w:wordWrap w:val="0"/>
        <w:autoSpaceDE w:val="0"/>
        <w:autoSpaceDN w:val="0"/>
        <w:spacing w:after="200"/>
        <w:jc w:val="both"/>
        <w:rPr>
          <w:rFonts w:ascii="Calibri" w:eastAsia="맑은 고딕" w:hAnsi="Calibri" w:cs="Calibri"/>
          <w:bCs/>
          <w:i/>
          <w:iCs/>
          <w:color w:val="auto"/>
        </w:rPr>
      </w:pPr>
      <w:r w:rsidRPr="003E193C">
        <w:rPr>
          <w:rFonts w:ascii="Calibri" w:eastAsia="맑은 고딕" w:hAnsi="Calibri" w:cs="Calibri"/>
          <w:bCs/>
          <w:i/>
          <w:iCs/>
          <w:color w:val="auto"/>
        </w:rPr>
        <w:t>At present South Korea has one of the lowest levels of fertility in the developed world, even when compared to the low-fertility countries such as Germany, Italy and Japan. Protracted low fertility leads to aging and reduction in the size of the population. Thus, it is a cause of significant concern to the South Korean political establishment.</w:t>
      </w:r>
    </w:p>
    <w:p w14:paraId="02AB9530" w14:textId="77777777" w:rsidR="003E193C" w:rsidRPr="003E193C" w:rsidRDefault="003E193C" w:rsidP="003E193C">
      <w:pPr>
        <w:widowControl w:val="0"/>
        <w:numPr>
          <w:ilvl w:val="0"/>
          <w:numId w:val="3"/>
        </w:numPr>
        <w:wordWrap w:val="0"/>
        <w:autoSpaceDE w:val="0"/>
        <w:autoSpaceDN w:val="0"/>
        <w:spacing w:after="200"/>
        <w:jc w:val="both"/>
        <w:rPr>
          <w:rFonts w:ascii="Calibri" w:eastAsia="맑은 고딕" w:hAnsi="Calibri" w:cs="Calibri"/>
          <w:bCs/>
          <w:i/>
          <w:iCs/>
          <w:color w:val="auto"/>
        </w:rPr>
      </w:pPr>
      <w:r w:rsidRPr="003E193C">
        <w:rPr>
          <w:rFonts w:ascii="Calibri" w:eastAsia="맑은 고딕" w:hAnsi="Calibri" w:cs="Calibri"/>
          <w:bCs/>
          <w:i/>
          <w:iCs/>
          <w:color w:val="auto"/>
        </w:rPr>
        <w:t>Signs of recovery in the total fertility rate in South Korea have been seen since 2005. We maintain that this may be the beginning of the long-term recovery. In order to support the recovery the government needs to gain better understanding of its underlying causes and dynamics.</w:t>
      </w:r>
    </w:p>
    <w:p w14:paraId="0B870AF0" w14:textId="77777777" w:rsidR="003E193C" w:rsidRPr="003E193C" w:rsidRDefault="003E193C" w:rsidP="003E193C">
      <w:pPr>
        <w:widowControl w:val="0"/>
        <w:numPr>
          <w:ilvl w:val="0"/>
          <w:numId w:val="3"/>
        </w:numPr>
        <w:wordWrap w:val="0"/>
        <w:autoSpaceDE w:val="0"/>
        <w:autoSpaceDN w:val="0"/>
        <w:spacing w:after="200"/>
        <w:jc w:val="both"/>
        <w:rPr>
          <w:rFonts w:ascii="Calibri" w:eastAsia="맑은 고딕" w:hAnsi="Calibri" w:cs="Calibri"/>
          <w:bCs/>
          <w:i/>
          <w:iCs/>
          <w:color w:val="auto"/>
        </w:rPr>
      </w:pPr>
      <w:r w:rsidRPr="003E193C">
        <w:rPr>
          <w:rFonts w:ascii="Calibri" w:eastAsia="맑은 고딕" w:hAnsi="Calibri" w:cs="Calibri"/>
          <w:bCs/>
          <w:i/>
          <w:iCs/>
          <w:color w:val="auto"/>
        </w:rPr>
        <w:t xml:space="preserve">The recovery is shown to result from the increase in fertility of women aged 30-39 years. This suggests that the sharp declines in fertility in the previous periods represented the phenomenon of postponement of fertility till later stage in life. This is in line with the developments seen elsewhere in the West. People choose </w:t>
      </w:r>
      <w:r w:rsidRPr="003E193C">
        <w:rPr>
          <w:rFonts w:ascii="Calibri" w:eastAsia="맑은 고딕" w:hAnsi="Calibri" w:cs="Calibri" w:hint="eastAsia"/>
          <w:bCs/>
          <w:i/>
          <w:iCs/>
          <w:color w:val="auto"/>
        </w:rPr>
        <w:t xml:space="preserve">to </w:t>
      </w:r>
      <w:r w:rsidRPr="003E193C">
        <w:rPr>
          <w:rFonts w:ascii="Calibri" w:eastAsia="맑은 고딕" w:hAnsi="Calibri" w:cs="Calibri"/>
          <w:bCs/>
          <w:i/>
          <w:iCs/>
          <w:color w:val="auto"/>
        </w:rPr>
        <w:t>build families and have children later in life. We suggest that the government efforts to elevate birth rates are directed in a more focused way towards meeting the needs of this group of people.</w:t>
      </w:r>
      <w:r w:rsidRPr="003E193C">
        <w:rPr>
          <w:rFonts w:ascii="Calibri" w:eastAsia="맑은 고딕" w:hAnsi="Calibri" w:cs="Calibri"/>
          <w:bCs/>
          <w:i/>
          <w:iCs/>
          <w:color w:val="auto"/>
          <w:vertAlign w:val="superscript"/>
        </w:rPr>
        <w:footnoteReference w:id="1"/>
      </w:r>
    </w:p>
    <w:p w14:paraId="56BB4B04" w14:textId="6D9669D5" w:rsidR="003E193C" w:rsidRPr="003E193C" w:rsidRDefault="003E193C" w:rsidP="003E193C">
      <w:pPr>
        <w:widowControl w:val="0"/>
        <w:numPr>
          <w:ilvl w:val="0"/>
          <w:numId w:val="3"/>
        </w:numPr>
        <w:wordWrap w:val="0"/>
        <w:autoSpaceDE w:val="0"/>
        <w:autoSpaceDN w:val="0"/>
        <w:spacing w:after="200"/>
        <w:jc w:val="both"/>
        <w:rPr>
          <w:rFonts w:ascii="Calibri" w:eastAsia="맑은 고딕" w:hAnsi="Calibri" w:cs="Calibri"/>
          <w:bCs/>
          <w:i/>
          <w:iCs/>
          <w:color w:val="auto"/>
        </w:rPr>
      </w:pPr>
      <w:r w:rsidRPr="003E193C">
        <w:rPr>
          <w:rFonts w:ascii="Calibri" w:eastAsia="맑은 고딕" w:hAnsi="Calibri" w:cs="Calibri"/>
          <w:bCs/>
          <w:i/>
          <w:iCs/>
          <w:color w:val="auto"/>
        </w:rPr>
        <w:t xml:space="preserve">The difficulties and priorities of these people are well known: they perceive family life and work as areas of conflicting demands and fear for job security in the event of having a child. Reduction in work-family conflict, real or imagined, should be the overarching aim of the policy makers. Provision of quality child care, flexible working arrangements and legal protection of parents’ employment rights </w:t>
      </w:r>
      <w:r w:rsidR="00B21B59">
        <w:rPr>
          <w:rFonts w:ascii="Calibri" w:eastAsia="맑은 고딕" w:hAnsi="Calibri" w:cs="Calibri" w:hint="eastAsia"/>
          <w:bCs/>
          <w:i/>
          <w:iCs/>
          <w:color w:val="auto"/>
        </w:rPr>
        <w:t xml:space="preserve">(especially those of mothers) </w:t>
      </w:r>
      <w:r w:rsidRPr="003E193C">
        <w:rPr>
          <w:rFonts w:ascii="Calibri" w:eastAsia="맑은 고딕" w:hAnsi="Calibri" w:cs="Calibri"/>
          <w:bCs/>
          <w:i/>
          <w:iCs/>
          <w:color w:val="auto"/>
        </w:rPr>
        <w:t>are specific policy directions to consider.</w:t>
      </w:r>
    </w:p>
    <w:p w14:paraId="44B8430A" w14:textId="40349563" w:rsidR="003E193C" w:rsidRPr="00A1524C" w:rsidRDefault="003E193C" w:rsidP="00A1524C">
      <w:pPr>
        <w:widowControl w:val="0"/>
        <w:numPr>
          <w:ilvl w:val="0"/>
          <w:numId w:val="3"/>
        </w:numPr>
        <w:wordWrap w:val="0"/>
        <w:autoSpaceDE w:val="0"/>
        <w:autoSpaceDN w:val="0"/>
        <w:spacing w:after="200"/>
        <w:jc w:val="both"/>
        <w:rPr>
          <w:rFonts w:ascii="Calibri" w:eastAsia="맑은 고딕" w:hAnsi="Calibri" w:cs="Calibri"/>
          <w:bCs/>
          <w:i/>
          <w:iCs/>
          <w:color w:val="auto"/>
        </w:rPr>
      </w:pPr>
      <w:r w:rsidRPr="003E193C">
        <w:rPr>
          <w:rFonts w:ascii="Calibri" w:eastAsia="맑은 고딕" w:hAnsi="Calibri" w:cs="Calibri"/>
          <w:bCs/>
          <w:i/>
          <w:iCs/>
          <w:color w:val="auto"/>
        </w:rPr>
        <w:lastRenderedPageBreak/>
        <w:t>South Korean fertility is expected to increase in future years. By 20</w:t>
      </w:r>
      <w:r w:rsidRPr="003E193C">
        <w:rPr>
          <w:rFonts w:ascii="Calibri" w:eastAsia="맑은 고딕" w:hAnsi="Calibri" w:cs="Calibri" w:hint="eastAsia"/>
          <w:bCs/>
          <w:i/>
          <w:iCs/>
          <w:color w:val="auto"/>
        </w:rPr>
        <w:t>24</w:t>
      </w:r>
      <w:r w:rsidRPr="003E193C">
        <w:rPr>
          <w:rFonts w:ascii="Calibri" w:eastAsia="맑은 고딕" w:hAnsi="Calibri" w:cs="Calibri"/>
          <w:bCs/>
          <w:i/>
          <w:iCs/>
          <w:color w:val="auto"/>
        </w:rPr>
        <w:t xml:space="preserve"> South Korean fertility can be expected to resemble the levels seen today in Canada, Finland and the Netherlands (TFR around 1.7 children per woman).</w:t>
      </w:r>
      <w:r w:rsidRPr="003E193C">
        <w:rPr>
          <w:rFonts w:ascii="Calibri" w:eastAsia="맑은 고딕" w:hAnsi="Calibri" w:cs="Calibri"/>
          <w:color w:val="auto"/>
        </w:rPr>
        <w:t xml:space="preserve"> </w:t>
      </w:r>
      <w:r w:rsidRPr="003E193C">
        <w:rPr>
          <w:rFonts w:ascii="Calibri" w:eastAsia="맑은 고딕" w:hAnsi="Calibri" w:cs="Calibri"/>
          <w:bCs/>
          <w:i/>
          <w:iCs/>
          <w:color w:val="auto"/>
        </w:rPr>
        <w:t>These are not high levels of fertility, to be sure, but they are also not at the currently experienced ‘lowest low’ levels.</w:t>
      </w:r>
    </w:p>
    <w:p w14:paraId="6BF0C1B4" w14:textId="77777777" w:rsidR="003E193C" w:rsidRPr="003E193C" w:rsidRDefault="003E193C" w:rsidP="003E193C">
      <w:pPr>
        <w:widowControl w:val="0"/>
        <w:wordWrap w:val="0"/>
        <w:autoSpaceDE w:val="0"/>
        <w:autoSpaceDN w:val="0"/>
        <w:spacing w:after="200"/>
        <w:jc w:val="both"/>
        <w:rPr>
          <w:rFonts w:ascii="Calibri" w:eastAsia="맑은 고딕" w:hAnsi="Calibri" w:cs="Calibri"/>
          <w:b/>
          <w:bCs/>
          <w:color w:val="auto"/>
          <w:kern w:val="2"/>
        </w:rPr>
      </w:pPr>
      <w:r w:rsidRPr="003E193C">
        <w:rPr>
          <w:rFonts w:ascii="Calibri" w:eastAsia="맑은 고딕" w:hAnsi="Calibri" w:cs="Calibri"/>
          <w:b/>
          <w:bCs/>
          <w:color w:val="auto"/>
          <w:kern w:val="2"/>
        </w:rPr>
        <w:t>What happened to South Korean fertility?</w:t>
      </w:r>
    </w:p>
    <w:p w14:paraId="0E4405E3"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In the decade spanning the early 1990s and the 2000s, South Korea’s fertility crashed reaching, in terms of TFR (Total Fertility Rate), the level of 1.08 children per woman in 2005. That is roughly half of 2.1 needed for population replacement. Perhaps more disturbingly, this is lower than in any other developed country with the lowest levels of fertility, with a single exception of Taiwan (see </w:t>
      </w:r>
      <w:r w:rsidRPr="003E193C">
        <w:rPr>
          <w:rFonts w:ascii="Calibri" w:eastAsia="맑은 고딕" w:hAnsi="Calibri" w:cs="Calibri" w:hint="eastAsia"/>
          <w:color w:val="auto"/>
        </w:rPr>
        <w:t>Fig. 1)</w:t>
      </w:r>
      <w:r w:rsidRPr="003E193C">
        <w:rPr>
          <w:rFonts w:ascii="Calibri" w:eastAsia="맑은 고딕" w:hAnsi="Calibri" w:cs="Calibri"/>
          <w:color w:val="auto"/>
        </w:rPr>
        <w:t>.</w:t>
      </w:r>
    </w:p>
    <w:p w14:paraId="62A293BA" w14:textId="4A7DDE97" w:rsidR="003E193C" w:rsidRPr="003E193C" w:rsidRDefault="005670BB" w:rsidP="003E193C">
      <w:pPr>
        <w:widowControl w:val="0"/>
        <w:wordWrap w:val="0"/>
        <w:autoSpaceDE w:val="0"/>
        <w:autoSpaceDN w:val="0"/>
        <w:spacing w:after="200"/>
        <w:rPr>
          <w:rFonts w:ascii="맑은 고딕" w:eastAsia="맑은 고딕" w:hAnsi="맑은 고딕" w:cs="Times New Roman"/>
          <w:b/>
          <w:noProof/>
          <w:color w:val="auto"/>
          <w:kern w:val="2"/>
          <w:lang w:eastAsia="en-GB" w:bidi="he-IL"/>
        </w:rPr>
      </w:pPr>
      <w:r>
        <w:rPr>
          <w:rFonts w:ascii="Calibri" w:eastAsia="맑은 고딕" w:hAnsi="Calibri" w:cs="Calibri" w:hint="eastAsia"/>
          <w:b/>
          <w:bCs/>
          <w:color w:val="auto"/>
        </w:rPr>
        <w:t>Figure 1</w:t>
      </w:r>
      <w:r w:rsidR="003E193C" w:rsidRPr="003E193C">
        <w:rPr>
          <w:rFonts w:ascii="Calibri" w:eastAsia="맑은 고딕" w:hAnsi="Calibri" w:cs="Calibri"/>
          <w:b/>
          <w:bCs/>
          <w:color w:val="auto"/>
        </w:rPr>
        <w:t>: Total fertility rate in South Korea, compared to selected low-fertility countries</w:t>
      </w:r>
    </w:p>
    <w:p w14:paraId="120A449A" w14:textId="77777777" w:rsidR="003E193C" w:rsidRPr="003E193C" w:rsidRDefault="003E193C" w:rsidP="003E193C">
      <w:pPr>
        <w:widowControl w:val="0"/>
        <w:wordWrap w:val="0"/>
        <w:autoSpaceDE w:val="0"/>
        <w:autoSpaceDN w:val="0"/>
        <w:spacing w:after="200"/>
        <w:jc w:val="center"/>
        <w:rPr>
          <w:rFonts w:ascii="Calibri" w:eastAsia="맑은 고딕" w:hAnsi="Calibri" w:cs="Calibri"/>
          <w:b/>
          <w:bCs/>
          <w:color w:val="auto"/>
        </w:rPr>
      </w:pPr>
      <w:r w:rsidRPr="003E193C">
        <w:rPr>
          <w:rFonts w:ascii="맑은 고딕" w:eastAsia="맑은 고딕" w:hAnsi="맑은 고딕" w:cs="Times New Roman"/>
          <w:noProof/>
          <w:color w:val="auto"/>
          <w:kern w:val="2"/>
          <w:sz w:val="20"/>
        </w:rPr>
        <w:drawing>
          <wp:inline distT="0" distB="0" distL="0" distR="0" wp14:anchorId="0DC0172C" wp14:editId="1D45B0CD">
            <wp:extent cx="5191125" cy="2857500"/>
            <wp:effectExtent l="0" t="0" r="9525" b="1905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F68F5A"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vertAlign w:val="superscript"/>
        </w:rPr>
        <w:footnoteReference w:id="2"/>
      </w:r>
      <w:r w:rsidRPr="003E193C">
        <w:rPr>
          <w:rFonts w:ascii="Calibri" w:eastAsia="맑은 고딕" w:hAnsi="Calibri" w:cs="Calibri" w:hint="eastAsia"/>
          <w:color w:val="auto"/>
        </w:rPr>
        <w:t>,</w:t>
      </w:r>
      <w:r w:rsidRPr="003E193C">
        <w:rPr>
          <w:rFonts w:ascii="Calibri" w:eastAsia="맑은 고딕" w:hAnsi="Calibri" w:cs="Calibri"/>
          <w:color w:val="auto"/>
        </w:rPr>
        <w:t xml:space="preserve"> all comparators: Human Fertility Database.</w:t>
      </w:r>
      <w:r w:rsidRPr="003E193C">
        <w:rPr>
          <w:rFonts w:ascii="Calibri" w:eastAsia="맑은 고딕" w:hAnsi="Calibri" w:cs="Calibri"/>
          <w:color w:val="auto"/>
          <w:vertAlign w:val="superscript"/>
        </w:rPr>
        <w:footnoteReference w:id="3"/>
      </w:r>
    </w:p>
    <w:p w14:paraId="43E64D81"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hint="eastAsia"/>
          <w:color w:val="auto"/>
          <w:kern w:val="2"/>
        </w:rPr>
        <w:t xml:space="preserve">The </w:t>
      </w:r>
      <w:r w:rsidRPr="003E193C">
        <w:rPr>
          <w:rFonts w:ascii="Calibri" w:eastAsia="맑은 고딕" w:hAnsi="Calibri" w:cs="Calibri"/>
          <w:color w:val="auto"/>
          <w:kern w:val="2"/>
        </w:rPr>
        <w:t xml:space="preserve">interrelated </w:t>
      </w:r>
      <w:r w:rsidRPr="003E193C">
        <w:rPr>
          <w:rFonts w:ascii="Calibri" w:eastAsia="맑은 고딕" w:hAnsi="Calibri" w:cs="Calibri" w:hint="eastAsia"/>
          <w:color w:val="auto"/>
          <w:kern w:val="2"/>
        </w:rPr>
        <w:t>problem</w:t>
      </w:r>
      <w:r w:rsidRPr="003E193C">
        <w:rPr>
          <w:rFonts w:ascii="Calibri" w:eastAsia="맑은 고딕" w:hAnsi="Calibri" w:cs="Calibri"/>
          <w:color w:val="auto"/>
          <w:kern w:val="2"/>
        </w:rPr>
        <w:t>s</w:t>
      </w:r>
      <w:r w:rsidRPr="003E193C">
        <w:rPr>
          <w:rFonts w:ascii="Calibri" w:eastAsia="맑은 고딕" w:hAnsi="Calibri" w:cs="Calibri" w:hint="eastAsia"/>
          <w:color w:val="auto"/>
          <w:kern w:val="2"/>
        </w:rPr>
        <w:t xml:space="preserve"> of low birth rates, ageing society and population</w:t>
      </w:r>
      <w:r w:rsidRPr="003E193C">
        <w:rPr>
          <w:rFonts w:ascii="Calibri" w:eastAsia="맑은 고딕" w:hAnsi="Calibri" w:cs="Calibri"/>
          <w:color w:val="auto"/>
          <w:kern w:val="2"/>
        </w:rPr>
        <w:t xml:space="preserve"> size</w:t>
      </w:r>
      <w:r w:rsidRPr="003E193C">
        <w:rPr>
          <w:rFonts w:ascii="Calibri" w:eastAsia="맑은 고딕" w:hAnsi="Calibri" w:cs="Calibri" w:hint="eastAsia"/>
          <w:color w:val="auto"/>
          <w:kern w:val="2"/>
        </w:rPr>
        <w:t xml:space="preserve"> </w:t>
      </w:r>
      <w:r w:rsidRPr="003E193C">
        <w:rPr>
          <w:rFonts w:ascii="Calibri" w:eastAsia="맑은 고딕" w:hAnsi="Calibri" w:cs="Calibri"/>
          <w:color w:val="auto"/>
          <w:kern w:val="2"/>
        </w:rPr>
        <w:t xml:space="preserve">in </w:t>
      </w:r>
      <w:r w:rsidRPr="003E193C">
        <w:rPr>
          <w:rFonts w:ascii="Calibri" w:eastAsia="맑은 고딕" w:hAnsi="Calibri" w:cs="Calibri" w:hint="eastAsia"/>
          <w:color w:val="auto"/>
          <w:kern w:val="2"/>
        </w:rPr>
        <w:t xml:space="preserve">South Korea </w:t>
      </w:r>
      <w:r w:rsidRPr="003E193C">
        <w:rPr>
          <w:rFonts w:ascii="Calibri" w:eastAsia="맑은 고딕" w:hAnsi="Calibri" w:cs="Calibri"/>
          <w:color w:val="auto"/>
          <w:kern w:val="2"/>
        </w:rPr>
        <w:t>were</w:t>
      </w:r>
      <w:r w:rsidRPr="003E193C">
        <w:rPr>
          <w:rFonts w:ascii="Calibri" w:eastAsia="맑은 고딕" w:hAnsi="Calibri" w:cs="Calibri" w:hint="eastAsia"/>
          <w:color w:val="auto"/>
          <w:kern w:val="2"/>
        </w:rPr>
        <w:t xml:space="preserve"> first </w:t>
      </w:r>
      <w:r w:rsidRPr="003E193C">
        <w:rPr>
          <w:rFonts w:ascii="Calibri" w:eastAsia="맑은 고딕" w:hAnsi="Calibri" w:cs="Calibri"/>
          <w:color w:val="auto"/>
          <w:kern w:val="2"/>
        </w:rPr>
        <w:t>recognized</w:t>
      </w:r>
      <w:r w:rsidRPr="003E193C">
        <w:rPr>
          <w:rFonts w:ascii="Calibri" w:eastAsia="맑은 고딕" w:hAnsi="Calibri" w:cs="Calibri" w:hint="eastAsia"/>
          <w:color w:val="auto"/>
          <w:kern w:val="2"/>
        </w:rPr>
        <w:t xml:space="preserve"> in 2003 under the </w:t>
      </w:r>
      <w:proofErr w:type="spellStart"/>
      <w:r w:rsidRPr="003E193C">
        <w:rPr>
          <w:rFonts w:ascii="Calibri" w:eastAsia="맑은 고딕" w:hAnsi="Calibri" w:cs="Calibri" w:hint="eastAsia"/>
          <w:color w:val="auto"/>
          <w:kern w:val="2"/>
        </w:rPr>
        <w:t>Roh</w:t>
      </w:r>
      <w:proofErr w:type="spellEnd"/>
      <w:r w:rsidRPr="003E193C">
        <w:rPr>
          <w:rFonts w:ascii="Calibri" w:eastAsia="맑은 고딕" w:hAnsi="Calibri" w:cs="Calibri" w:hint="eastAsia"/>
          <w:color w:val="auto"/>
          <w:kern w:val="2"/>
        </w:rPr>
        <w:t xml:space="preserve"> Moo-Hyun government (2003</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 xml:space="preserve">2008). To tackle this problem, the </w:t>
      </w:r>
      <w:r w:rsidRPr="003E193C">
        <w:rPr>
          <w:rFonts w:ascii="Calibri" w:eastAsia="맑은 고딕" w:hAnsi="Calibri" w:cs="Calibri"/>
          <w:color w:val="auto"/>
          <w:kern w:val="2"/>
        </w:rPr>
        <w:t>Presidential Committee on Ageing Society and Population Policy</w:t>
      </w:r>
      <w:r w:rsidRPr="003E193C">
        <w:rPr>
          <w:rFonts w:ascii="Calibri" w:eastAsia="맑은 고딕" w:hAnsi="Calibri" w:cs="Calibri" w:hint="eastAsia"/>
          <w:color w:val="auto"/>
          <w:kern w:val="2"/>
        </w:rPr>
        <w:t xml:space="preserve"> was set up in 2004. The fact that </w:t>
      </w:r>
      <w:r w:rsidRPr="003E193C">
        <w:rPr>
          <w:rFonts w:ascii="Calibri" w:eastAsia="맑은 고딕" w:hAnsi="Calibri" w:cs="Calibri"/>
          <w:color w:val="auto"/>
          <w:kern w:val="2"/>
        </w:rPr>
        <w:t xml:space="preserve">it was </w:t>
      </w:r>
      <w:r w:rsidRPr="003E193C">
        <w:rPr>
          <w:rFonts w:ascii="Calibri" w:eastAsia="맑은 고딕" w:hAnsi="Calibri" w:cs="Calibri" w:hint="eastAsia"/>
          <w:color w:val="auto"/>
          <w:kern w:val="2"/>
        </w:rPr>
        <w:t xml:space="preserve">the </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Presidential Committee</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 xml:space="preserve"> shows the importance attached to solving this problem, and the first government action plan under the title </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The</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F</w:t>
      </w:r>
      <w:r w:rsidRPr="003E193C">
        <w:rPr>
          <w:rFonts w:ascii="Calibri" w:eastAsia="맑은 고딕" w:hAnsi="Calibri" w:cs="Calibri"/>
          <w:color w:val="auto"/>
        </w:rPr>
        <w:t xml:space="preserve">irst </w:t>
      </w:r>
      <w:r w:rsidRPr="003E193C">
        <w:rPr>
          <w:rFonts w:ascii="Calibri" w:eastAsia="맑은 고딕" w:hAnsi="Calibri" w:cs="Calibri" w:hint="eastAsia"/>
          <w:color w:val="auto"/>
        </w:rPr>
        <w:t>P</w:t>
      </w:r>
      <w:r w:rsidRPr="003E193C">
        <w:rPr>
          <w:rFonts w:ascii="Calibri" w:eastAsia="맑은 고딕" w:hAnsi="Calibri" w:cs="Calibri"/>
          <w:color w:val="auto"/>
        </w:rPr>
        <w:t xml:space="preserve">lan for </w:t>
      </w:r>
      <w:r w:rsidRPr="003E193C">
        <w:rPr>
          <w:rFonts w:ascii="Calibri" w:eastAsia="맑은 고딕" w:hAnsi="Calibri" w:cs="Calibri" w:hint="eastAsia"/>
          <w:color w:val="auto"/>
        </w:rPr>
        <w:t>A</w:t>
      </w:r>
      <w:r w:rsidRPr="003E193C">
        <w:rPr>
          <w:rFonts w:ascii="Calibri" w:eastAsia="맑은 고딕" w:hAnsi="Calibri" w:cs="Calibri"/>
          <w:color w:val="auto"/>
        </w:rPr>
        <w:t xml:space="preserve">geing </w:t>
      </w:r>
      <w:r w:rsidRPr="003E193C">
        <w:rPr>
          <w:rFonts w:ascii="Calibri" w:eastAsia="맑은 고딕" w:hAnsi="Calibri" w:cs="Calibri" w:hint="eastAsia"/>
          <w:color w:val="auto"/>
        </w:rPr>
        <w:t>S</w:t>
      </w:r>
      <w:r w:rsidRPr="003E193C">
        <w:rPr>
          <w:rFonts w:ascii="Calibri" w:eastAsia="맑은 고딕" w:hAnsi="Calibri" w:cs="Calibri"/>
          <w:color w:val="auto"/>
        </w:rPr>
        <w:t xml:space="preserve">ociety and </w:t>
      </w:r>
      <w:r w:rsidRPr="003E193C">
        <w:rPr>
          <w:rFonts w:ascii="Calibri" w:eastAsia="맑은 고딕" w:hAnsi="Calibri" w:cs="Calibri" w:hint="eastAsia"/>
          <w:color w:val="auto"/>
        </w:rPr>
        <w:t>P</w:t>
      </w:r>
      <w:r w:rsidRPr="003E193C">
        <w:rPr>
          <w:rFonts w:ascii="Calibri" w:eastAsia="맑은 고딕" w:hAnsi="Calibri" w:cs="Calibri"/>
          <w:color w:val="auto"/>
        </w:rPr>
        <w:t>opulation’</w:t>
      </w:r>
      <w:r w:rsidRPr="003E193C">
        <w:rPr>
          <w:rFonts w:ascii="Calibri" w:eastAsia="맑은 고딕" w:hAnsi="Calibri" w:cs="Calibri"/>
          <w:color w:val="auto"/>
          <w:vertAlign w:val="superscript"/>
        </w:rPr>
        <w:footnoteReference w:id="4"/>
      </w:r>
      <w:r w:rsidRPr="003E193C">
        <w:rPr>
          <w:rFonts w:ascii="Calibri" w:eastAsia="맑은 고딕" w:hAnsi="Calibri" w:cs="Calibri" w:hint="eastAsia"/>
          <w:color w:val="auto"/>
        </w:rPr>
        <w:t xml:space="preserve"> for the period 2006</w:t>
      </w:r>
      <w:r w:rsidRPr="003E193C">
        <w:rPr>
          <w:rFonts w:ascii="Calibri" w:eastAsia="맑은 고딕" w:hAnsi="Calibri" w:cs="Calibri"/>
          <w:color w:val="auto"/>
        </w:rPr>
        <w:t>-</w:t>
      </w:r>
      <w:r w:rsidRPr="003E193C">
        <w:rPr>
          <w:rFonts w:ascii="Calibri" w:eastAsia="맑은 고딕" w:hAnsi="Calibri" w:cs="Calibri" w:hint="eastAsia"/>
          <w:color w:val="auto"/>
        </w:rPr>
        <w:t>2010 appeared in 2006</w:t>
      </w:r>
      <w:r w:rsidRPr="003E193C">
        <w:rPr>
          <w:rFonts w:ascii="Calibri" w:eastAsia="맑은 고딕" w:hAnsi="Calibri" w:cs="Calibri"/>
          <w:color w:val="auto"/>
        </w:rPr>
        <w:t>.</w:t>
      </w:r>
      <w:r w:rsidRPr="003E193C">
        <w:rPr>
          <w:rFonts w:ascii="Calibri" w:eastAsia="맑은 고딕" w:hAnsi="Calibri" w:cs="Calibri" w:hint="eastAsia"/>
          <w:color w:val="auto"/>
        </w:rPr>
        <w:t xml:space="preserve"> However, when the next Lee Myung-</w:t>
      </w:r>
      <w:proofErr w:type="spellStart"/>
      <w:r w:rsidRPr="003E193C">
        <w:rPr>
          <w:rFonts w:ascii="Calibri" w:eastAsia="맑은 고딕" w:hAnsi="Calibri" w:cs="Calibri" w:hint="eastAsia"/>
          <w:color w:val="auto"/>
        </w:rPr>
        <w:t>Bak</w:t>
      </w:r>
      <w:proofErr w:type="spellEnd"/>
      <w:r w:rsidRPr="003E193C">
        <w:rPr>
          <w:rFonts w:ascii="Calibri" w:eastAsia="맑은 고딕" w:hAnsi="Calibri" w:cs="Calibri" w:hint="eastAsia"/>
          <w:color w:val="auto"/>
        </w:rPr>
        <w:t xml:space="preserve"> government (2008-2013) took office, this Committee was put under the control of the Ministry of Health and Welfare rather than directly under Office of President. </w:t>
      </w:r>
      <w:r w:rsidRPr="003E193C">
        <w:rPr>
          <w:rFonts w:ascii="Calibri" w:eastAsia="맑은 고딕" w:hAnsi="Calibri" w:cs="Calibri"/>
          <w:color w:val="auto"/>
        </w:rPr>
        <w:t>‘</w:t>
      </w:r>
      <w:r w:rsidRPr="003E193C">
        <w:rPr>
          <w:rFonts w:ascii="Calibri" w:eastAsia="맑은 고딕" w:hAnsi="Calibri" w:cs="Calibri" w:hint="eastAsia"/>
          <w:color w:val="auto"/>
        </w:rPr>
        <w:t>The Second</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P</w:t>
      </w:r>
      <w:r w:rsidRPr="003E193C">
        <w:rPr>
          <w:rFonts w:ascii="Calibri" w:eastAsia="맑은 고딕" w:hAnsi="Calibri" w:cs="Calibri"/>
          <w:color w:val="auto"/>
        </w:rPr>
        <w:t xml:space="preserve">lan for </w:t>
      </w:r>
      <w:r w:rsidRPr="003E193C">
        <w:rPr>
          <w:rFonts w:ascii="Calibri" w:eastAsia="맑은 고딕" w:hAnsi="Calibri" w:cs="Calibri" w:hint="eastAsia"/>
          <w:color w:val="auto"/>
        </w:rPr>
        <w:t>A</w:t>
      </w:r>
      <w:r w:rsidRPr="003E193C">
        <w:rPr>
          <w:rFonts w:ascii="Calibri" w:eastAsia="맑은 고딕" w:hAnsi="Calibri" w:cs="Calibri"/>
          <w:color w:val="auto"/>
        </w:rPr>
        <w:t xml:space="preserve">geing </w:t>
      </w:r>
      <w:r w:rsidRPr="003E193C">
        <w:rPr>
          <w:rFonts w:ascii="Calibri" w:eastAsia="맑은 고딕" w:hAnsi="Calibri" w:cs="Calibri" w:hint="eastAsia"/>
          <w:color w:val="auto"/>
        </w:rPr>
        <w:t>S</w:t>
      </w:r>
      <w:r w:rsidRPr="003E193C">
        <w:rPr>
          <w:rFonts w:ascii="Calibri" w:eastAsia="맑은 고딕" w:hAnsi="Calibri" w:cs="Calibri"/>
          <w:color w:val="auto"/>
        </w:rPr>
        <w:t xml:space="preserve">ociety and </w:t>
      </w:r>
      <w:r w:rsidRPr="003E193C">
        <w:rPr>
          <w:rFonts w:ascii="Calibri" w:eastAsia="맑은 고딕" w:hAnsi="Calibri" w:cs="Calibri" w:hint="eastAsia"/>
          <w:color w:val="auto"/>
        </w:rPr>
        <w:lastRenderedPageBreak/>
        <w:t>P</w:t>
      </w:r>
      <w:r w:rsidRPr="003E193C">
        <w:rPr>
          <w:rFonts w:ascii="Calibri" w:eastAsia="맑은 고딕" w:hAnsi="Calibri" w:cs="Calibri"/>
          <w:color w:val="auto"/>
        </w:rPr>
        <w:t>opulation’</w:t>
      </w:r>
      <w:r w:rsidRPr="003E193C">
        <w:rPr>
          <w:rFonts w:ascii="Calibri" w:eastAsia="맑은 고딕" w:hAnsi="Calibri" w:cs="Calibri" w:hint="eastAsia"/>
          <w:color w:val="auto"/>
        </w:rPr>
        <w:t xml:space="preserve"> for the period 2011</w:t>
      </w:r>
      <w:r w:rsidRPr="003E193C">
        <w:rPr>
          <w:rFonts w:ascii="Calibri" w:eastAsia="맑은 고딕" w:hAnsi="Calibri" w:cs="Calibri"/>
          <w:color w:val="auto"/>
        </w:rPr>
        <w:t>-</w:t>
      </w:r>
      <w:r w:rsidRPr="003E193C">
        <w:rPr>
          <w:rFonts w:ascii="Calibri" w:eastAsia="맑은 고딕" w:hAnsi="Calibri" w:cs="Calibri" w:hint="eastAsia"/>
          <w:color w:val="auto"/>
        </w:rPr>
        <w:t xml:space="preserve">2015 appeared in 2011. </w:t>
      </w:r>
      <w:r w:rsidRPr="003E193C">
        <w:rPr>
          <w:rFonts w:ascii="Calibri" w:eastAsia="맑은 고딕" w:hAnsi="Calibri" w:cs="Calibri"/>
          <w:color w:val="auto"/>
        </w:rPr>
        <w:t xml:space="preserve">The government spent 19.7 trillion KRW (17.8 billion USD) and 60.5 trillion KRW (63.4 billion USD) successively over the two five year periods </w:t>
      </w:r>
      <w:r w:rsidRPr="003E193C">
        <w:rPr>
          <w:rFonts w:ascii="Calibri" w:eastAsia="맑은 고딕" w:hAnsi="Calibri" w:cs="Calibri" w:hint="eastAsia"/>
          <w:color w:val="auto"/>
        </w:rPr>
        <w:t>specifically</w:t>
      </w:r>
      <w:r w:rsidRPr="003E193C">
        <w:rPr>
          <w:rFonts w:ascii="Calibri" w:eastAsia="맑은 고딕" w:hAnsi="Calibri" w:cs="Calibri"/>
          <w:color w:val="auto"/>
        </w:rPr>
        <w:t xml:space="preserve"> to raise declining birth</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rate</w:t>
      </w:r>
      <w:r w:rsidRPr="003E193C">
        <w:rPr>
          <w:rFonts w:ascii="Calibri" w:eastAsia="맑은 고딕" w:hAnsi="Calibri" w:cs="Calibri" w:hint="eastAsia"/>
          <w:color w:val="auto"/>
        </w:rPr>
        <w:t>s</w:t>
      </w:r>
      <w:r w:rsidRPr="003E193C">
        <w:rPr>
          <w:rFonts w:ascii="Calibri" w:eastAsia="맑은 고딕" w:hAnsi="Calibri" w:cs="Calibri"/>
          <w:color w:val="auto"/>
        </w:rPr>
        <w:t>.</w:t>
      </w:r>
    </w:p>
    <w:p w14:paraId="75383796" w14:textId="282D00AA"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hint="eastAsia"/>
          <w:color w:val="auto"/>
        </w:rPr>
        <w:t xml:space="preserve">The government first action plan </w:t>
      </w:r>
      <w:r w:rsidR="00DB1943">
        <w:rPr>
          <w:rFonts w:ascii="Calibri" w:eastAsia="맑은 고딕" w:hAnsi="Calibri" w:cs="Calibri" w:hint="eastAsia"/>
          <w:color w:val="auto"/>
        </w:rPr>
        <w:t>contained, for example, financial</w:t>
      </w:r>
      <w:r w:rsidRPr="003E193C">
        <w:rPr>
          <w:rFonts w:ascii="Calibri" w:eastAsia="맑은 고딕" w:hAnsi="Calibri" w:cs="Calibri" w:hint="eastAsia"/>
          <w:color w:val="auto"/>
        </w:rPr>
        <w:t xml:space="preserve"> support for childcare and education, the provision for more schools with after-school education program, infrastructure investment that can deliver quality childcare and better</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 xml:space="preserve">employment </w:t>
      </w:r>
      <w:r w:rsidRPr="003E193C">
        <w:rPr>
          <w:rFonts w:ascii="Calibri" w:eastAsia="맑은 고딕" w:hAnsi="Calibri" w:cs="Calibri"/>
          <w:color w:val="auto"/>
        </w:rPr>
        <w:t xml:space="preserve">terms and conditions for couples taking </w:t>
      </w:r>
      <w:r w:rsidRPr="003E193C">
        <w:rPr>
          <w:rFonts w:ascii="Calibri" w:eastAsia="맑은 고딕" w:hAnsi="Calibri" w:cs="Calibri" w:hint="eastAsia"/>
          <w:color w:val="auto"/>
        </w:rPr>
        <w:t xml:space="preserve">a </w:t>
      </w:r>
      <w:r w:rsidRPr="003E193C">
        <w:rPr>
          <w:rFonts w:ascii="Calibri" w:eastAsia="맑은 고딕" w:hAnsi="Calibri" w:cs="Calibri"/>
          <w:color w:val="auto"/>
        </w:rPr>
        <w:t>maternity and parental leave</w:t>
      </w:r>
      <w:r w:rsidRPr="003E193C">
        <w:rPr>
          <w:rFonts w:ascii="Calibri" w:eastAsia="맑은 고딕" w:hAnsi="Calibri" w:cs="Calibri" w:hint="eastAsia"/>
          <w:color w:val="auto"/>
        </w:rPr>
        <w:t xml:space="preserve"> to spend more time with their newborn baby. During the second plan, these employment terms and conditions were further improved (e.g., being paid 40% of their normal income with the limit set at one million KRW), flexible working practices including shorter working hours were encouraged to balance work and family life. A greater portion of medical expenses for having a baby was met as well as </w:t>
      </w:r>
      <w:r w:rsidRPr="003E193C">
        <w:rPr>
          <w:rFonts w:ascii="Calibri" w:eastAsia="맑은 고딕" w:hAnsi="Calibri" w:cs="Calibri"/>
          <w:color w:val="auto"/>
        </w:rPr>
        <w:t>covering the costs of</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fertility</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treatment.</w:t>
      </w:r>
      <w:r w:rsidRPr="003E193C">
        <w:rPr>
          <w:rFonts w:ascii="Calibri" w:eastAsia="맑은 고딕" w:hAnsi="Calibri" w:cs="Calibri" w:hint="eastAsia"/>
          <w:color w:val="auto"/>
        </w:rPr>
        <w:t xml:space="preserve"> Financial support for childcare was extended to everyone up to the age of 5 and </w:t>
      </w:r>
      <w:r w:rsidRPr="003E193C">
        <w:rPr>
          <w:rFonts w:ascii="Calibri" w:eastAsia="맑은 고딕" w:hAnsi="Calibri" w:cs="Calibri"/>
          <w:color w:val="auto"/>
        </w:rPr>
        <w:t xml:space="preserve">was no </w:t>
      </w:r>
      <w:r w:rsidRPr="003E193C">
        <w:rPr>
          <w:rFonts w:ascii="Calibri" w:eastAsia="맑은 고딕" w:hAnsi="Calibri" w:cs="Calibri" w:hint="eastAsia"/>
          <w:color w:val="auto"/>
        </w:rPr>
        <w:t>longer means tested</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Also, newly married couples would have found easier to get a home loan.</w:t>
      </w:r>
    </w:p>
    <w:p w14:paraId="28F79C4C" w14:textId="20095013" w:rsidR="00897278"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During the</w:t>
      </w:r>
      <w:r w:rsidRPr="003E193C">
        <w:rPr>
          <w:rFonts w:ascii="Calibri" w:eastAsia="맑은 고딕" w:hAnsi="Calibri" w:cs="Calibri" w:hint="eastAsia"/>
          <w:color w:val="auto"/>
        </w:rPr>
        <w:t xml:space="preserve"> 10 year period from 2006 to 2015,</w:t>
      </w:r>
      <w:r w:rsidRPr="003E193C">
        <w:rPr>
          <w:rFonts w:ascii="Calibri" w:eastAsia="맑은 고딕" w:hAnsi="Calibri" w:cs="Calibri"/>
          <w:color w:val="auto"/>
        </w:rPr>
        <w:t xml:space="preserve"> the average TFR was 1.21 </w:t>
      </w:r>
      <w:r w:rsidRPr="003E193C">
        <w:rPr>
          <w:rFonts w:ascii="Calibri" w:eastAsia="맑은 고딕" w:hAnsi="Calibri" w:cs="Calibri" w:hint="eastAsia"/>
          <w:color w:val="auto"/>
        </w:rPr>
        <w:t>since</w:t>
      </w:r>
      <w:r w:rsidRPr="003E193C">
        <w:rPr>
          <w:rFonts w:ascii="Calibri" w:eastAsia="맑은 고딕" w:hAnsi="Calibri" w:cs="Calibri"/>
          <w:color w:val="auto"/>
        </w:rPr>
        <w:t xml:space="preserve"> hitting the lowest </w:t>
      </w:r>
      <w:r w:rsidRPr="003E193C">
        <w:rPr>
          <w:rFonts w:ascii="Calibri" w:eastAsia="맑은 고딕" w:hAnsi="Calibri" w:cs="Calibri" w:hint="eastAsia"/>
          <w:color w:val="auto"/>
        </w:rPr>
        <w:t>level</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 xml:space="preserve">of 1.07 </w:t>
      </w:r>
      <w:r w:rsidRPr="003E193C">
        <w:rPr>
          <w:rFonts w:ascii="Calibri" w:eastAsia="맑은 고딕" w:hAnsi="Calibri" w:cs="Calibri"/>
          <w:color w:val="auto"/>
        </w:rPr>
        <w:t xml:space="preserve">in 2005. There were two separate peaks, one in 2007, the year of the golden pig </w:t>
      </w:r>
      <w:r w:rsidRPr="003E193C">
        <w:rPr>
          <w:rFonts w:ascii="Calibri" w:eastAsia="맑은 고딕" w:hAnsi="Calibri" w:cs="Calibri" w:hint="eastAsia"/>
          <w:color w:val="auto"/>
        </w:rPr>
        <w:t xml:space="preserve">when TFR reached 1.25 </w:t>
      </w:r>
      <w:r w:rsidRPr="003E193C">
        <w:rPr>
          <w:rFonts w:ascii="Calibri" w:eastAsia="맑은 고딕" w:hAnsi="Calibri" w:cs="Calibri"/>
          <w:color w:val="auto"/>
        </w:rPr>
        <w:t>and the other in 2012, the year of the black dragon</w:t>
      </w:r>
      <w:r w:rsidRPr="003E193C">
        <w:rPr>
          <w:rFonts w:ascii="Calibri" w:eastAsia="맑은 고딕" w:hAnsi="Calibri" w:cs="Calibri" w:hint="eastAsia"/>
          <w:color w:val="auto"/>
        </w:rPr>
        <w:t xml:space="preserve">, when </w:t>
      </w:r>
      <w:r w:rsidRPr="003E193C">
        <w:rPr>
          <w:rFonts w:ascii="Calibri" w:eastAsia="맑은 고딕" w:hAnsi="Calibri" w:cs="Calibri"/>
          <w:color w:val="auto"/>
        </w:rPr>
        <w:t>it</w:t>
      </w:r>
      <w:r w:rsidRPr="003E193C">
        <w:rPr>
          <w:rFonts w:ascii="Calibri" w:eastAsia="맑은 고딕" w:hAnsi="Calibri" w:cs="Calibri" w:hint="eastAsia"/>
          <w:color w:val="auto"/>
        </w:rPr>
        <w:t xml:space="preserve"> reached 1.3. For example, TFR increased by 11% in 2007. M</w:t>
      </w:r>
      <w:r w:rsidRPr="003E193C">
        <w:rPr>
          <w:rFonts w:ascii="Calibri" w:eastAsia="맑은 고딕" w:hAnsi="Calibri" w:cs="Calibri"/>
          <w:color w:val="auto"/>
        </w:rPr>
        <w:t xml:space="preserve">any would-be parents </w:t>
      </w:r>
      <w:r w:rsidRPr="003E193C">
        <w:rPr>
          <w:rFonts w:ascii="Calibri" w:eastAsia="맑은 고딕" w:hAnsi="Calibri" w:cs="Calibri" w:hint="eastAsia"/>
          <w:color w:val="auto"/>
        </w:rPr>
        <w:t>might have held the belief</w:t>
      </w:r>
      <w:r w:rsidRPr="003E193C">
        <w:rPr>
          <w:rFonts w:ascii="Calibri" w:eastAsia="맑은 고딕" w:hAnsi="Calibri" w:cs="Calibri"/>
          <w:color w:val="auto"/>
        </w:rPr>
        <w:t xml:space="preserve"> that giving a birth to a baby at these times would bring good luck according to Chinese </w:t>
      </w:r>
      <w:r w:rsidRPr="003E193C">
        <w:rPr>
          <w:rFonts w:ascii="Calibri" w:eastAsia="맑은 고딕" w:hAnsi="Calibri" w:cs="Calibri" w:hint="eastAsia"/>
          <w:color w:val="auto"/>
        </w:rPr>
        <w:t>astrology</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The fact that the two peaks coincided with these years leads us to believe that this factor could have made significant cont</w:t>
      </w:r>
      <w:r w:rsidR="00DB1943">
        <w:rPr>
          <w:rFonts w:ascii="Calibri" w:eastAsia="맑은 고딕" w:hAnsi="Calibri" w:cs="Calibri" w:hint="eastAsia"/>
          <w:color w:val="auto"/>
        </w:rPr>
        <w:t>ributions to forming the peaks.</w:t>
      </w:r>
      <w:r w:rsidR="007F5D58">
        <w:rPr>
          <w:rFonts w:ascii="Calibri" w:eastAsia="맑은 고딕" w:hAnsi="Calibri" w:cs="Calibri" w:hint="eastAsia"/>
          <w:color w:val="auto"/>
        </w:rPr>
        <w:t xml:space="preserve"> Table 1 </w:t>
      </w:r>
      <w:r w:rsidR="007F5D58">
        <w:rPr>
          <w:rFonts w:ascii="Calibri" w:eastAsia="맑은 고딕" w:hAnsi="Calibri" w:cs="Calibri"/>
          <w:color w:val="auto"/>
        </w:rPr>
        <w:t>shows increases</w:t>
      </w:r>
      <w:r w:rsidR="002D6C3D">
        <w:rPr>
          <w:rFonts w:ascii="Calibri" w:eastAsia="맑은 고딕" w:hAnsi="Calibri" w:cs="Calibri" w:hint="eastAsia"/>
          <w:color w:val="auto"/>
        </w:rPr>
        <w:t xml:space="preserve"> in </w:t>
      </w:r>
      <w:r w:rsidR="00456FC5">
        <w:rPr>
          <w:rFonts w:ascii="Calibri" w:eastAsia="맑은 고딕" w:hAnsi="Calibri" w:cs="Calibri" w:hint="eastAsia"/>
          <w:color w:val="auto"/>
        </w:rPr>
        <w:t xml:space="preserve">TFR and </w:t>
      </w:r>
      <w:r w:rsidR="007F5D58">
        <w:rPr>
          <w:rFonts w:ascii="Calibri" w:eastAsia="맑은 고딕" w:hAnsi="Calibri" w:cs="Calibri" w:hint="eastAsia"/>
          <w:color w:val="auto"/>
        </w:rPr>
        <w:t xml:space="preserve">the </w:t>
      </w:r>
      <w:r w:rsidR="00456FC5">
        <w:rPr>
          <w:rFonts w:ascii="Calibri" w:eastAsia="맑은 고딕" w:hAnsi="Calibri" w:cs="Calibri" w:hint="eastAsia"/>
          <w:color w:val="auto"/>
        </w:rPr>
        <w:t>number of children born in</w:t>
      </w:r>
      <w:r w:rsidR="002D6C3D">
        <w:rPr>
          <w:rFonts w:ascii="Calibri" w:eastAsia="맑은 고딕" w:hAnsi="Calibri" w:cs="Calibri" w:hint="eastAsia"/>
          <w:color w:val="auto"/>
        </w:rPr>
        <w:t xml:space="preserve"> </w:t>
      </w:r>
      <w:r w:rsidR="00456FC5">
        <w:rPr>
          <w:rFonts w:ascii="Calibri" w:eastAsia="맑은 고딕" w:hAnsi="Calibri" w:cs="Calibri" w:hint="eastAsia"/>
          <w:color w:val="auto"/>
        </w:rPr>
        <w:t xml:space="preserve">the </w:t>
      </w:r>
      <w:r w:rsidR="002D6C3D">
        <w:rPr>
          <w:rFonts w:ascii="Calibri" w:eastAsia="맑은 고딕" w:hAnsi="Calibri" w:cs="Calibri"/>
          <w:color w:val="auto"/>
        </w:rPr>
        <w:t>millennial</w:t>
      </w:r>
      <w:r w:rsidR="00456FC5">
        <w:rPr>
          <w:rFonts w:ascii="Calibri" w:eastAsia="맑은 고딕" w:hAnsi="Calibri" w:cs="Calibri" w:hint="eastAsia"/>
          <w:color w:val="auto"/>
        </w:rPr>
        <w:t xml:space="preserve"> year, </w:t>
      </w:r>
      <w:r w:rsidR="002D6C3D">
        <w:rPr>
          <w:rFonts w:ascii="Calibri" w:eastAsia="맑은 고딕" w:hAnsi="Calibri" w:cs="Calibri" w:hint="eastAsia"/>
          <w:color w:val="auto"/>
        </w:rPr>
        <w:t>the year</w:t>
      </w:r>
      <w:r w:rsidR="00456FC5">
        <w:rPr>
          <w:rFonts w:ascii="Calibri" w:eastAsia="맑은 고딕" w:hAnsi="Calibri" w:cs="Calibri" w:hint="eastAsia"/>
          <w:color w:val="auto"/>
        </w:rPr>
        <w:t xml:space="preserve"> of</w:t>
      </w:r>
      <w:r w:rsidR="002D6C3D">
        <w:rPr>
          <w:rFonts w:ascii="Calibri" w:eastAsia="맑은 고딕" w:hAnsi="Calibri" w:cs="Calibri" w:hint="eastAsia"/>
          <w:color w:val="auto"/>
        </w:rPr>
        <w:t xml:space="preserve"> the golden pig a</w:t>
      </w:r>
      <w:r w:rsidR="00456FC5">
        <w:rPr>
          <w:rFonts w:ascii="Calibri" w:eastAsia="맑은 고딕" w:hAnsi="Calibri" w:cs="Calibri" w:hint="eastAsia"/>
          <w:color w:val="auto"/>
        </w:rPr>
        <w:t>nd</w:t>
      </w:r>
      <w:r w:rsidR="008D5B2E">
        <w:rPr>
          <w:rFonts w:ascii="Calibri" w:eastAsia="맑은 고딕" w:hAnsi="Calibri" w:cs="Calibri" w:hint="eastAsia"/>
          <w:color w:val="auto"/>
        </w:rPr>
        <w:t xml:space="preserve"> the </w:t>
      </w:r>
      <w:r w:rsidR="00456FC5">
        <w:rPr>
          <w:rFonts w:ascii="Calibri" w:eastAsia="맑은 고딕" w:hAnsi="Calibri" w:cs="Calibri" w:hint="eastAsia"/>
          <w:color w:val="auto"/>
        </w:rPr>
        <w:t xml:space="preserve">year of the </w:t>
      </w:r>
      <w:r w:rsidR="008D5B2E">
        <w:rPr>
          <w:rFonts w:ascii="Calibri" w:eastAsia="맑은 고딕" w:hAnsi="Calibri" w:cs="Calibri" w:hint="eastAsia"/>
          <w:color w:val="auto"/>
        </w:rPr>
        <w:t>black dragon compared to the year before</w:t>
      </w:r>
      <w:r w:rsidR="007B274E">
        <w:rPr>
          <w:rFonts w:ascii="Calibri" w:eastAsia="맑은 고딕" w:hAnsi="Calibri" w:cs="Calibri" w:hint="eastAsia"/>
          <w:color w:val="auto"/>
        </w:rPr>
        <w:t xml:space="preserve"> (see Fig</w:t>
      </w:r>
      <w:r w:rsidR="008D5B2E">
        <w:rPr>
          <w:rFonts w:ascii="Calibri" w:eastAsia="맑은 고딕" w:hAnsi="Calibri" w:cs="Calibri" w:hint="eastAsia"/>
          <w:color w:val="auto"/>
        </w:rPr>
        <w:t>.</w:t>
      </w:r>
      <w:r w:rsidR="007B274E">
        <w:rPr>
          <w:rFonts w:ascii="Calibri" w:eastAsia="맑은 고딕" w:hAnsi="Calibri" w:cs="Calibri" w:hint="eastAsia"/>
          <w:color w:val="auto"/>
        </w:rPr>
        <w:t xml:space="preserve"> 5).</w:t>
      </w:r>
    </w:p>
    <w:p w14:paraId="5EB2A320" w14:textId="0674F4F5" w:rsidR="00550DC5" w:rsidRPr="003E193C" w:rsidRDefault="00FD38A3" w:rsidP="00550DC5">
      <w:pPr>
        <w:widowControl w:val="0"/>
        <w:wordWrap w:val="0"/>
        <w:autoSpaceDE w:val="0"/>
        <w:autoSpaceDN w:val="0"/>
        <w:spacing w:after="200"/>
        <w:rPr>
          <w:rFonts w:ascii="맑은 고딕" w:eastAsia="맑은 고딕" w:hAnsi="맑은 고딕" w:cs="Times New Roman"/>
          <w:b/>
          <w:noProof/>
          <w:color w:val="auto"/>
          <w:kern w:val="2"/>
          <w:lang w:eastAsia="en-GB" w:bidi="he-IL"/>
        </w:rPr>
      </w:pPr>
      <w:r>
        <w:rPr>
          <w:rFonts w:ascii="Calibri" w:eastAsia="맑은 고딕" w:hAnsi="Calibri" w:cs="Calibri"/>
          <w:b/>
          <w:bCs/>
          <w:color w:val="auto"/>
        </w:rPr>
        <w:t>Table 1</w:t>
      </w:r>
      <w:r w:rsidR="00550DC5">
        <w:rPr>
          <w:rFonts w:ascii="Calibri" w:eastAsia="맑은 고딕" w:hAnsi="Calibri" w:cs="Calibri"/>
          <w:b/>
          <w:bCs/>
          <w:color w:val="auto"/>
        </w:rPr>
        <w:t xml:space="preserve">: </w:t>
      </w:r>
      <w:r w:rsidR="007F5D58">
        <w:rPr>
          <w:rFonts w:ascii="Calibri" w:eastAsia="맑은 고딕" w:hAnsi="Calibri" w:cs="Calibri" w:hint="eastAsia"/>
          <w:b/>
          <w:bCs/>
          <w:color w:val="auto"/>
        </w:rPr>
        <w:t>I</w:t>
      </w:r>
      <w:r w:rsidR="0026740E">
        <w:rPr>
          <w:rFonts w:ascii="Calibri" w:eastAsia="맑은 고딕" w:hAnsi="Calibri" w:cs="Calibri" w:hint="eastAsia"/>
          <w:b/>
          <w:bCs/>
          <w:color w:val="auto"/>
        </w:rPr>
        <w:t>ncrease</w:t>
      </w:r>
      <w:r w:rsidR="002D6C3D">
        <w:rPr>
          <w:rFonts w:ascii="Calibri" w:eastAsia="맑은 고딕" w:hAnsi="Calibri" w:cs="Calibri" w:hint="eastAsia"/>
          <w:b/>
          <w:bCs/>
          <w:color w:val="auto"/>
        </w:rPr>
        <w:t>s</w:t>
      </w:r>
      <w:r w:rsidR="0026740E">
        <w:rPr>
          <w:rFonts w:ascii="Calibri" w:eastAsia="맑은 고딕" w:hAnsi="Calibri" w:cs="Calibri" w:hint="eastAsia"/>
          <w:b/>
          <w:bCs/>
          <w:color w:val="auto"/>
        </w:rPr>
        <w:t xml:space="preserve"> in TFR </w:t>
      </w:r>
      <w:r w:rsidR="004F6258">
        <w:rPr>
          <w:rFonts w:ascii="Calibri" w:eastAsia="맑은 고딕" w:hAnsi="Calibri" w:cs="Calibri" w:hint="eastAsia"/>
          <w:b/>
          <w:bCs/>
          <w:color w:val="auto"/>
        </w:rPr>
        <w:t xml:space="preserve">and </w:t>
      </w:r>
      <w:r w:rsidR="007F5D58">
        <w:rPr>
          <w:rFonts w:ascii="Calibri" w:eastAsia="맑은 고딕" w:hAnsi="Calibri" w:cs="Calibri" w:hint="eastAsia"/>
          <w:b/>
          <w:bCs/>
          <w:color w:val="auto"/>
        </w:rPr>
        <w:t xml:space="preserve">the </w:t>
      </w:r>
      <w:r w:rsidR="004F6258">
        <w:rPr>
          <w:rFonts w:ascii="Calibri" w:eastAsia="맑은 고딕" w:hAnsi="Calibri" w:cs="Calibri" w:hint="eastAsia"/>
          <w:b/>
          <w:bCs/>
          <w:color w:val="auto"/>
        </w:rPr>
        <w:t xml:space="preserve">number of children </w:t>
      </w:r>
      <w:r w:rsidR="00190880">
        <w:rPr>
          <w:rFonts w:ascii="Calibri" w:eastAsia="맑은 고딕" w:hAnsi="Calibri" w:cs="Calibri" w:hint="eastAsia"/>
          <w:b/>
          <w:bCs/>
          <w:color w:val="auto"/>
        </w:rPr>
        <w:t xml:space="preserve">born </w:t>
      </w:r>
      <w:r w:rsidR="0026740E">
        <w:rPr>
          <w:rFonts w:ascii="Calibri" w:eastAsia="맑은 고딕" w:hAnsi="Calibri" w:cs="Calibri" w:hint="eastAsia"/>
          <w:b/>
          <w:bCs/>
          <w:color w:val="auto"/>
        </w:rPr>
        <w:t xml:space="preserve">in years 2000 (the millennial year), 2007 (the year of the golden pig) and 2012 (the year of the black dragon) </w:t>
      </w:r>
      <w:r w:rsidR="00550DC5">
        <w:rPr>
          <w:rFonts w:ascii="Calibri" w:eastAsia="맑은 고딕" w:hAnsi="Calibri" w:cs="Calibri" w:hint="eastAsia"/>
          <w:b/>
          <w:bCs/>
          <w:color w:val="auto"/>
        </w:rPr>
        <w:t xml:space="preserve"> </w:t>
      </w:r>
    </w:p>
    <w:tbl>
      <w:tblPr>
        <w:tblStyle w:val="10"/>
        <w:tblpPr w:leftFromText="142" w:rightFromText="142" w:vertAnchor="text" w:horzAnchor="margin" w:tblpY="95"/>
        <w:tblW w:w="0" w:type="auto"/>
        <w:tblLayout w:type="fixed"/>
        <w:tblLook w:val="04A0" w:firstRow="1" w:lastRow="0" w:firstColumn="1" w:lastColumn="0" w:noHBand="0" w:noVBand="1"/>
      </w:tblPr>
      <w:tblGrid>
        <w:gridCol w:w="2660"/>
        <w:gridCol w:w="1097"/>
        <w:gridCol w:w="1098"/>
        <w:gridCol w:w="1097"/>
        <w:gridCol w:w="1098"/>
        <w:gridCol w:w="1097"/>
        <w:gridCol w:w="1098"/>
      </w:tblGrid>
      <w:tr w:rsidR="00550DC5" w:rsidRPr="003E193C" w14:paraId="34FC2078" w14:textId="77777777" w:rsidTr="000A3847">
        <w:trPr>
          <w:trHeight w:val="269"/>
        </w:trPr>
        <w:tc>
          <w:tcPr>
            <w:tcW w:w="2660" w:type="dxa"/>
            <w:tcBorders>
              <w:bottom w:val="single" w:sz="4" w:space="0" w:color="auto"/>
            </w:tcBorders>
            <w:shd w:val="clear" w:color="auto" w:fill="auto"/>
            <w:vAlign w:val="center"/>
          </w:tcPr>
          <w:p w14:paraId="65A2EA7E"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p>
        </w:tc>
        <w:tc>
          <w:tcPr>
            <w:tcW w:w="1097" w:type="dxa"/>
            <w:shd w:val="clear" w:color="auto" w:fill="FFFFCC"/>
            <w:vAlign w:val="center"/>
          </w:tcPr>
          <w:p w14:paraId="360AE028"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1999</w:t>
            </w:r>
          </w:p>
        </w:tc>
        <w:tc>
          <w:tcPr>
            <w:tcW w:w="1098" w:type="dxa"/>
            <w:shd w:val="clear" w:color="auto" w:fill="FFFFCC"/>
            <w:vAlign w:val="center"/>
          </w:tcPr>
          <w:p w14:paraId="5A46318D"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2000</w:t>
            </w:r>
          </w:p>
        </w:tc>
        <w:tc>
          <w:tcPr>
            <w:tcW w:w="1097" w:type="dxa"/>
            <w:shd w:val="clear" w:color="auto" w:fill="BDD6EE" w:themeFill="accent1" w:themeFillTint="66"/>
            <w:vAlign w:val="center"/>
          </w:tcPr>
          <w:p w14:paraId="51E7D1F4"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2006</w:t>
            </w:r>
          </w:p>
        </w:tc>
        <w:tc>
          <w:tcPr>
            <w:tcW w:w="1098" w:type="dxa"/>
            <w:shd w:val="clear" w:color="auto" w:fill="BDD6EE" w:themeFill="accent1" w:themeFillTint="66"/>
            <w:vAlign w:val="center"/>
          </w:tcPr>
          <w:p w14:paraId="456E4E6A"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2007</w:t>
            </w:r>
          </w:p>
        </w:tc>
        <w:tc>
          <w:tcPr>
            <w:tcW w:w="1097" w:type="dxa"/>
            <w:shd w:val="clear" w:color="auto" w:fill="FFCCCC"/>
            <w:vAlign w:val="center"/>
          </w:tcPr>
          <w:p w14:paraId="33C30B01"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2011</w:t>
            </w:r>
          </w:p>
        </w:tc>
        <w:tc>
          <w:tcPr>
            <w:tcW w:w="1098" w:type="dxa"/>
            <w:shd w:val="clear" w:color="auto" w:fill="FFCCCC"/>
            <w:vAlign w:val="center"/>
          </w:tcPr>
          <w:p w14:paraId="5C89FEAD"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2012</w:t>
            </w:r>
          </w:p>
        </w:tc>
      </w:tr>
      <w:tr w:rsidR="00550DC5" w:rsidRPr="003E193C" w14:paraId="4443199C" w14:textId="77777777" w:rsidTr="000A3847">
        <w:trPr>
          <w:trHeight w:val="269"/>
        </w:trPr>
        <w:tc>
          <w:tcPr>
            <w:tcW w:w="2660" w:type="dxa"/>
            <w:shd w:val="clear" w:color="auto" w:fill="FBD4B4"/>
          </w:tcPr>
          <w:p w14:paraId="47766B78" w14:textId="77777777" w:rsidR="00550DC5" w:rsidRPr="006D2684" w:rsidRDefault="00550DC5" w:rsidP="00550DC5">
            <w:pPr>
              <w:widowControl w:val="0"/>
              <w:autoSpaceDE w:val="0"/>
              <w:autoSpaceDN w:val="0"/>
              <w:adjustRightInd w:val="0"/>
              <w:jc w:val="center"/>
              <w:rPr>
                <w:rFonts w:ascii="Calibri" w:eastAsia="맑은 고딕" w:hAnsi="Calibri" w:cs="Calibri"/>
                <w:sz w:val="22"/>
              </w:rPr>
            </w:pPr>
            <w:r w:rsidRPr="006D2684">
              <w:rPr>
                <w:rFonts w:ascii="Calibri" w:eastAsia="맑은 고딕" w:hAnsi="Calibri" w:cs="Calibri" w:hint="eastAsia"/>
                <w:sz w:val="22"/>
              </w:rPr>
              <w:t>TFR</w:t>
            </w:r>
          </w:p>
        </w:tc>
        <w:tc>
          <w:tcPr>
            <w:tcW w:w="1097" w:type="dxa"/>
            <w:vAlign w:val="center"/>
          </w:tcPr>
          <w:p w14:paraId="2505A633" w14:textId="6E31EC08" w:rsidR="00550DC5" w:rsidRPr="006D2684" w:rsidRDefault="0026740E"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1.41</w:t>
            </w:r>
          </w:p>
        </w:tc>
        <w:tc>
          <w:tcPr>
            <w:tcW w:w="1098" w:type="dxa"/>
            <w:vAlign w:val="center"/>
          </w:tcPr>
          <w:p w14:paraId="64C5B091" w14:textId="0C38D21D" w:rsidR="00550DC5" w:rsidRPr="006D2684" w:rsidRDefault="0026740E"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1.467</w:t>
            </w:r>
          </w:p>
        </w:tc>
        <w:tc>
          <w:tcPr>
            <w:tcW w:w="1097" w:type="dxa"/>
            <w:vAlign w:val="center"/>
          </w:tcPr>
          <w:p w14:paraId="0F1393CE" w14:textId="38325D3C" w:rsidR="00550DC5" w:rsidRPr="006D2684" w:rsidRDefault="000B2543"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1.123</w:t>
            </w:r>
          </w:p>
        </w:tc>
        <w:tc>
          <w:tcPr>
            <w:tcW w:w="1098" w:type="dxa"/>
            <w:vAlign w:val="center"/>
          </w:tcPr>
          <w:p w14:paraId="7D19F33D" w14:textId="7F2F988A" w:rsidR="00550DC5" w:rsidRPr="006D2684" w:rsidRDefault="000B2543"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1.25</w:t>
            </w:r>
          </w:p>
        </w:tc>
        <w:tc>
          <w:tcPr>
            <w:tcW w:w="1097" w:type="dxa"/>
            <w:vAlign w:val="center"/>
          </w:tcPr>
          <w:p w14:paraId="67956E35" w14:textId="5EBA57D0" w:rsidR="00550DC5" w:rsidRPr="006D2684" w:rsidRDefault="000B2543"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1.244</w:t>
            </w:r>
          </w:p>
        </w:tc>
        <w:tc>
          <w:tcPr>
            <w:tcW w:w="1098" w:type="dxa"/>
            <w:vAlign w:val="center"/>
          </w:tcPr>
          <w:p w14:paraId="6AB1DB9E" w14:textId="5FFBECDA" w:rsidR="00550DC5" w:rsidRPr="006D2684" w:rsidRDefault="000B2543" w:rsidP="00550DC5">
            <w:pPr>
              <w:widowControl w:val="0"/>
              <w:autoSpaceDE w:val="0"/>
              <w:autoSpaceDN w:val="0"/>
              <w:adjustRightInd w:val="0"/>
              <w:jc w:val="center"/>
              <w:rPr>
                <w:rFonts w:ascii="Calibri" w:eastAsia="맑은 고딕" w:hAnsi="Calibri" w:cs="Calibri"/>
                <w:sz w:val="22"/>
              </w:rPr>
            </w:pPr>
            <w:r>
              <w:rPr>
                <w:rFonts w:ascii="Calibri" w:eastAsia="맑은 고딕" w:hAnsi="Calibri" w:cs="Calibri" w:hint="eastAsia"/>
                <w:sz w:val="22"/>
              </w:rPr>
              <w:t>1.297</w:t>
            </w:r>
          </w:p>
        </w:tc>
      </w:tr>
      <w:tr w:rsidR="000C70A5" w:rsidRPr="003E193C" w14:paraId="567A20A4" w14:textId="77777777" w:rsidTr="000A3847">
        <w:trPr>
          <w:trHeight w:val="269"/>
        </w:trPr>
        <w:tc>
          <w:tcPr>
            <w:tcW w:w="2660" w:type="dxa"/>
            <w:shd w:val="clear" w:color="auto" w:fill="FBD4B4"/>
          </w:tcPr>
          <w:p w14:paraId="376BDC0C" w14:textId="191AE025"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Number of children born</w:t>
            </w:r>
          </w:p>
        </w:tc>
        <w:tc>
          <w:tcPr>
            <w:tcW w:w="1097" w:type="dxa"/>
            <w:tcBorders>
              <w:bottom w:val="single" w:sz="4" w:space="0" w:color="auto"/>
            </w:tcBorders>
            <w:vAlign w:val="center"/>
          </w:tcPr>
          <w:p w14:paraId="3FE5835D" w14:textId="3715AF67"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614,233</w:t>
            </w:r>
          </w:p>
        </w:tc>
        <w:tc>
          <w:tcPr>
            <w:tcW w:w="1098" w:type="dxa"/>
            <w:vAlign w:val="center"/>
          </w:tcPr>
          <w:p w14:paraId="62ED59CE" w14:textId="55F6D297"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634,501</w:t>
            </w:r>
          </w:p>
        </w:tc>
        <w:tc>
          <w:tcPr>
            <w:tcW w:w="1097" w:type="dxa"/>
            <w:vAlign w:val="center"/>
          </w:tcPr>
          <w:p w14:paraId="469B1791" w14:textId="78F9D254"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448,153</w:t>
            </w:r>
          </w:p>
        </w:tc>
        <w:tc>
          <w:tcPr>
            <w:tcW w:w="1098" w:type="dxa"/>
            <w:vAlign w:val="center"/>
          </w:tcPr>
          <w:p w14:paraId="46E3E673" w14:textId="2306DACD"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493,189</w:t>
            </w:r>
          </w:p>
        </w:tc>
        <w:tc>
          <w:tcPr>
            <w:tcW w:w="1097" w:type="dxa"/>
            <w:vAlign w:val="center"/>
          </w:tcPr>
          <w:p w14:paraId="300C9C46" w14:textId="23B027FB"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471,265</w:t>
            </w:r>
          </w:p>
        </w:tc>
        <w:tc>
          <w:tcPr>
            <w:tcW w:w="1098" w:type="dxa"/>
            <w:vAlign w:val="center"/>
          </w:tcPr>
          <w:p w14:paraId="6ED402BE" w14:textId="24B956C5" w:rsidR="000C70A5" w:rsidRPr="000D3A22" w:rsidRDefault="000C70A5" w:rsidP="00550DC5">
            <w:pPr>
              <w:widowControl w:val="0"/>
              <w:autoSpaceDE w:val="0"/>
              <w:autoSpaceDN w:val="0"/>
              <w:adjustRightInd w:val="0"/>
              <w:jc w:val="center"/>
              <w:rPr>
                <w:rFonts w:ascii="Calibri" w:eastAsia="맑은 고딕" w:hAnsi="Calibri" w:cs="Calibri"/>
                <w:sz w:val="22"/>
              </w:rPr>
            </w:pPr>
            <w:r w:rsidRPr="000D3A22">
              <w:rPr>
                <w:rFonts w:ascii="Calibri" w:eastAsia="맑은 고딕" w:hAnsi="Calibri" w:cs="Calibri" w:hint="eastAsia"/>
                <w:sz w:val="22"/>
              </w:rPr>
              <w:t>484,550</w:t>
            </w:r>
          </w:p>
        </w:tc>
      </w:tr>
    </w:tbl>
    <w:p w14:paraId="2DC7A0A1" w14:textId="13F769EE" w:rsidR="000B2543" w:rsidRDefault="00B56B79" w:rsidP="003E193C">
      <w:pPr>
        <w:widowControl w:val="0"/>
        <w:wordWrap w:val="0"/>
        <w:autoSpaceDE w:val="0"/>
        <w:autoSpaceDN w:val="0"/>
        <w:spacing w:after="200"/>
        <w:jc w:val="both"/>
        <w:rPr>
          <w:rFonts w:ascii="Calibri" w:eastAsia="맑은 고딕" w:hAnsi="Calibri" w:cs="Calibri"/>
          <w:color w:val="auto"/>
        </w:rPr>
      </w:pPr>
      <w:r>
        <w:rPr>
          <w:rFonts w:ascii="Calibri" w:eastAsia="맑은 고딕" w:hAnsi="Calibri" w:cs="Calibri" w:hint="eastAsia"/>
          <w:color w:val="auto"/>
        </w:rPr>
        <w:t>Sources: Statistics Korea</w:t>
      </w:r>
    </w:p>
    <w:p w14:paraId="08B95AA6" w14:textId="3E33D5F8"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hint="eastAsia"/>
          <w:color w:val="auto"/>
        </w:rPr>
        <w:t xml:space="preserve">Following the peaks, TFR slipped back to the level of 1.19 due to the financial and economic crisis (2008) and the economic slowdown (2013). TFR climbed to 1.24 in 2015 but this is still below 1.3 defined to be the </w:t>
      </w:r>
      <w:r w:rsidRPr="003E193C">
        <w:rPr>
          <w:rFonts w:ascii="Calibri" w:eastAsia="맑은 고딕" w:hAnsi="Calibri" w:cs="Calibri"/>
          <w:color w:val="auto"/>
        </w:rPr>
        <w:t>threshold</w:t>
      </w:r>
      <w:r w:rsidRPr="003E193C">
        <w:rPr>
          <w:rFonts w:ascii="Calibri" w:eastAsia="맑은 고딕" w:hAnsi="Calibri" w:cs="Calibri" w:hint="eastAsia"/>
          <w:color w:val="auto"/>
        </w:rPr>
        <w:t xml:space="preserve"> level at which a country is experiencing </w:t>
      </w:r>
      <w:r w:rsidRPr="003E193C">
        <w:rPr>
          <w:rFonts w:ascii="Calibri" w:eastAsia="맑은 고딕" w:hAnsi="Calibri" w:cs="Calibri"/>
          <w:color w:val="auto"/>
        </w:rPr>
        <w:t>‘</w:t>
      </w:r>
      <w:r w:rsidRPr="003E193C">
        <w:rPr>
          <w:rFonts w:ascii="Calibri" w:eastAsia="맑은 고딕" w:hAnsi="Calibri" w:cs="Calibri" w:hint="eastAsia"/>
          <w:color w:val="auto"/>
        </w:rPr>
        <w:t>lowest low fertility.</w:t>
      </w:r>
      <w:r w:rsidRPr="003E193C">
        <w:rPr>
          <w:rFonts w:ascii="Calibri" w:eastAsia="맑은 고딕" w:hAnsi="Calibri" w:cs="Calibri"/>
          <w:color w:val="auto"/>
        </w:rPr>
        <w:t>’</w:t>
      </w:r>
      <w:r w:rsidRPr="003E193C">
        <w:rPr>
          <w:rFonts w:ascii="Calibri" w:eastAsia="맑은 고딕" w:hAnsi="Calibri" w:cs="Calibri" w:hint="eastAsia"/>
          <w:color w:val="auto"/>
        </w:rPr>
        <w:t xml:space="preserve"> Ever since the year 2000, the year of the millennium baby with TFR at 1.47, South Korea has been trapped in the prolonged period of </w:t>
      </w:r>
      <w:r w:rsidRPr="003E193C">
        <w:rPr>
          <w:rFonts w:ascii="Calibri" w:eastAsia="맑은 고딕" w:hAnsi="Calibri" w:cs="Calibri"/>
          <w:color w:val="auto"/>
        </w:rPr>
        <w:t>‘</w:t>
      </w:r>
      <w:r w:rsidRPr="003E193C">
        <w:rPr>
          <w:rFonts w:ascii="Calibri" w:eastAsia="맑은 고딕" w:hAnsi="Calibri" w:cs="Calibri" w:hint="eastAsia"/>
          <w:color w:val="auto"/>
        </w:rPr>
        <w:t>lowest low fertility</w:t>
      </w:r>
      <w:r w:rsidRPr="003E193C">
        <w:rPr>
          <w:rFonts w:ascii="Calibri" w:eastAsia="맑은 고딕" w:hAnsi="Calibri" w:cs="Calibri"/>
          <w:color w:val="auto"/>
        </w:rPr>
        <w:t>’</w:t>
      </w:r>
      <w:r w:rsidRPr="003E193C">
        <w:rPr>
          <w:rFonts w:ascii="Calibri" w:eastAsia="맑은 고딕" w:hAnsi="Calibri" w:cs="Calibri" w:hint="eastAsia"/>
          <w:color w:val="auto"/>
        </w:rPr>
        <w:t xml:space="preserve"> despite government action.</w:t>
      </w:r>
    </w:p>
    <w:p w14:paraId="49D74E2C"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hint="eastAsia"/>
          <w:color w:val="auto"/>
        </w:rPr>
        <w:t>On the whole</w:t>
      </w:r>
      <w:r w:rsidRPr="003E193C">
        <w:rPr>
          <w:rFonts w:ascii="Calibri" w:eastAsia="맑은 고딕" w:hAnsi="Calibri" w:cs="Calibri"/>
          <w:color w:val="auto"/>
        </w:rPr>
        <w:t>, it looks</w:t>
      </w:r>
      <w:r w:rsidRPr="003E193C">
        <w:rPr>
          <w:rFonts w:ascii="Calibri" w:eastAsia="맑은 고딕" w:hAnsi="Calibri" w:cs="Calibri" w:hint="eastAsia"/>
          <w:color w:val="auto"/>
        </w:rPr>
        <w:t xml:space="preserve"> as though</w:t>
      </w:r>
      <w:r w:rsidRPr="003E193C">
        <w:rPr>
          <w:rFonts w:ascii="Calibri" w:eastAsia="맑은 고딕" w:hAnsi="Calibri" w:cs="Calibri"/>
          <w:color w:val="auto"/>
        </w:rPr>
        <w:t xml:space="preserve"> popular beliefs </w:t>
      </w:r>
      <w:r w:rsidRPr="003E193C">
        <w:rPr>
          <w:rFonts w:ascii="Calibri" w:eastAsia="맑은 고딕" w:hAnsi="Calibri" w:cs="Calibri" w:hint="eastAsia"/>
          <w:color w:val="auto"/>
        </w:rPr>
        <w:t>could have had</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 xml:space="preserve">a </w:t>
      </w:r>
      <w:r w:rsidRPr="003E193C">
        <w:rPr>
          <w:rFonts w:ascii="Calibri" w:eastAsia="맑은 고딕" w:hAnsi="Calibri" w:cs="Calibri"/>
          <w:color w:val="auto"/>
        </w:rPr>
        <w:t xml:space="preserve">more </w:t>
      </w:r>
      <w:r w:rsidRPr="003E193C">
        <w:rPr>
          <w:rFonts w:ascii="Calibri" w:eastAsia="맑은 고딕" w:hAnsi="Calibri" w:cs="Calibri" w:hint="eastAsia"/>
          <w:color w:val="auto"/>
        </w:rPr>
        <w:t>visible</w:t>
      </w:r>
      <w:r w:rsidRPr="003E193C">
        <w:rPr>
          <w:rFonts w:ascii="Calibri" w:eastAsia="맑은 고딕" w:hAnsi="Calibri" w:cs="Calibri"/>
          <w:color w:val="auto"/>
        </w:rPr>
        <w:t xml:space="preserve"> effect o</w:t>
      </w:r>
      <w:r w:rsidRPr="003E193C">
        <w:rPr>
          <w:rFonts w:ascii="Calibri" w:eastAsia="맑은 고딕" w:hAnsi="Calibri" w:cs="Calibri" w:hint="eastAsia"/>
          <w:color w:val="auto"/>
        </w:rPr>
        <w:t>n</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raising TFR</w:t>
      </w:r>
      <w:r w:rsidRPr="003E193C">
        <w:rPr>
          <w:rFonts w:ascii="Calibri" w:eastAsia="맑은 고딕" w:hAnsi="Calibri" w:cs="Calibri"/>
          <w:color w:val="auto"/>
        </w:rPr>
        <w:t xml:space="preserve"> tha</w:t>
      </w:r>
      <w:r w:rsidRPr="003E193C">
        <w:rPr>
          <w:rFonts w:ascii="Calibri" w:eastAsia="맑은 고딕" w:hAnsi="Calibri" w:cs="Calibri" w:hint="eastAsia"/>
          <w:color w:val="auto"/>
        </w:rPr>
        <w:t>n</w:t>
      </w:r>
      <w:r w:rsidRPr="003E193C">
        <w:rPr>
          <w:rFonts w:ascii="Calibri" w:eastAsia="맑은 고딕" w:hAnsi="Calibri" w:cs="Calibri"/>
          <w:color w:val="auto"/>
        </w:rPr>
        <w:t xml:space="preserve"> the government policies. One way to increase the effectiveness of the policies is to target them better</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 xml:space="preserve">for example, towards the groups most susceptible to these policies. What are these groups in the case of South Korea? In order to identify these groups, we maintain, one needs to understand, in purely demographic terms, how </w:t>
      </w:r>
      <w:r w:rsidRPr="003E193C">
        <w:rPr>
          <w:rFonts w:ascii="Calibri" w:eastAsia="맑은 고딕" w:hAnsi="Calibri" w:cs="Calibri" w:hint="eastAsia"/>
          <w:color w:val="auto"/>
        </w:rPr>
        <w:t>and</w:t>
      </w:r>
      <w:r w:rsidRPr="003E193C">
        <w:rPr>
          <w:rFonts w:ascii="Calibri" w:eastAsia="맑은 고딕" w:hAnsi="Calibri" w:cs="Calibri"/>
          <w:color w:val="auto"/>
        </w:rPr>
        <w:t xml:space="preserve"> why South Korean fertility reached such a low level.</w:t>
      </w:r>
    </w:p>
    <w:p w14:paraId="63DECCD7" w14:textId="77777777" w:rsidR="003E193C" w:rsidRPr="003E193C" w:rsidRDefault="003E193C" w:rsidP="003E193C">
      <w:pPr>
        <w:widowControl w:val="0"/>
        <w:wordWrap w:val="0"/>
        <w:autoSpaceDE w:val="0"/>
        <w:autoSpaceDN w:val="0"/>
        <w:spacing w:after="200"/>
        <w:jc w:val="both"/>
        <w:rPr>
          <w:rFonts w:ascii="Calibri" w:eastAsia="맑은 고딕" w:hAnsi="Calibri" w:cs="Calibri"/>
          <w:b/>
          <w:bCs/>
          <w:color w:val="auto"/>
        </w:rPr>
      </w:pPr>
      <w:r w:rsidRPr="003E193C">
        <w:rPr>
          <w:rFonts w:ascii="Calibri" w:eastAsia="맑은 고딕" w:hAnsi="Calibri" w:cs="Calibri"/>
          <w:b/>
          <w:bCs/>
          <w:color w:val="auto"/>
        </w:rPr>
        <w:lastRenderedPageBreak/>
        <w:t>Why and how South Korean fertility crashed: the demographic explanation</w:t>
      </w:r>
    </w:p>
    <w:p w14:paraId="756552A8"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kern w:val="2"/>
        </w:rPr>
        <w:t>Total fertility rate is an overall indicator of fertility in a given period of time. However, it is a summary measure reflecting levels of fertility across all age groups. An in depth understanding of fertility dynamics requires examination of fertility trajectories of each age group contributing to TFR. When this is done it becomes clear that dramatic decline in South Korean fertility is, in fact, a responsibility of the youngest age groups in population, as shown in Fig. 2. Since 1981 to 2015 fertility of age groups 15-19 years, 20-24 years, and 25-29 years declined dramatically, with some signs of levelling off in sight but certainly no signs of reversal</w:t>
      </w:r>
      <w:r w:rsidRPr="003E193C">
        <w:rPr>
          <w:rFonts w:ascii="Calibri" w:eastAsia="맑은 고딕" w:hAnsi="Calibri" w:cs="Calibri" w:hint="eastAsia"/>
          <w:color w:val="auto"/>
          <w:kern w:val="2"/>
        </w:rPr>
        <w:t>.</w:t>
      </w:r>
    </w:p>
    <w:p w14:paraId="4B20EF37" w14:textId="77777777" w:rsidR="003E193C" w:rsidRPr="003E193C" w:rsidRDefault="003E193C" w:rsidP="003E193C">
      <w:pPr>
        <w:widowControl w:val="0"/>
        <w:wordWrap w:val="0"/>
        <w:autoSpaceDE w:val="0"/>
        <w:autoSpaceDN w:val="0"/>
        <w:spacing w:after="200"/>
        <w:rPr>
          <w:rFonts w:ascii="Calibri" w:eastAsia="맑은 고딕" w:hAnsi="Calibri" w:cs="Calibri"/>
          <w:color w:val="auto"/>
          <w:kern w:val="2"/>
        </w:rPr>
      </w:pPr>
      <w:r w:rsidRPr="003E193C">
        <w:rPr>
          <w:rFonts w:ascii="Calibri" w:eastAsia="맑은 고딕" w:hAnsi="Calibri" w:cs="Calibri"/>
          <w:b/>
          <w:bCs/>
          <w:color w:val="auto"/>
        </w:rPr>
        <w:t>Figure 2: Age-specific fertility rates (ASFR) in South Korea, per 1,000: age groups 15-19 years, 20-24 years, 25-29 years.</w:t>
      </w:r>
    </w:p>
    <w:p w14:paraId="4985F84E" w14:textId="77777777" w:rsidR="003E193C" w:rsidRPr="003E193C" w:rsidRDefault="003E193C" w:rsidP="003E193C">
      <w:pPr>
        <w:widowControl w:val="0"/>
        <w:wordWrap w:val="0"/>
        <w:autoSpaceDE w:val="0"/>
        <w:autoSpaceDN w:val="0"/>
        <w:spacing w:after="200"/>
        <w:jc w:val="center"/>
        <w:rPr>
          <w:rFonts w:ascii="Calibri" w:eastAsia="맑은 고딕" w:hAnsi="Calibri" w:cs="Calibri"/>
          <w:color w:val="auto"/>
        </w:rPr>
      </w:pPr>
      <w:r w:rsidRPr="003E193C">
        <w:rPr>
          <w:rFonts w:ascii="맑은 고딕" w:eastAsia="맑은 고딕" w:hAnsi="맑은 고딕" w:cs="Times New Roman"/>
          <w:noProof/>
          <w:color w:val="auto"/>
          <w:kern w:val="2"/>
          <w:sz w:val="20"/>
        </w:rPr>
        <w:drawing>
          <wp:inline distT="0" distB="0" distL="0" distR="0" wp14:anchorId="159C7CB2" wp14:editId="2F68726F">
            <wp:extent cx="3990975" cy="2333625"/>
            <wp:effectExtent l="0" t="0" r="9525" b="9525"/>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93B4AF" w14:textId="77777777" w:rsidR="003E193C" w:rsidRPr="003E193C" w:rsidRDefault="003E193C" w:rsidP="003E193C">
      <w:pPr>
        <w:widowControl w:val="0"/>
        <w:wordWrap w:val="0"/>
        <w:autoSpaceDE w:val="0"/>
        <w:autoSpaceDN w:val="0"/>
        <w:spacing w:after="200"/>
        <w:jc w:val="center"/>
        <w:rPr>
          <w:rFonts w:ascii="Calibri" w:eastAsia="맑은 고딕" w:hAnsi="Calibri" w:cs="Calibri"/>
          <w:color w:val="auto"/>
        </w:rPr>
      </w:pPr>
      <w:r w:rsidRPr="003E193C">
        <w:rPr>
          <w:rFonts w:ascii="맑은 고딕" w:eastAsia="맑은 고딕" w:hAnsi="맑은 고딕" w:cs="Times New Roman"/>
          <w:noProof/>
          <w:color w:val="auto"/>
          <w:kern w:val="2"/>
          <w:sz w:val="20"/>
        </w:rPr>
        <w:drawing>
          <wp:inline distT="0" distB="0" distL="0" distR="0" wp14:anchorId="54FAE7E3" wp14:editId="389EC7F5">
            <wp:extent cx="3994099" cy="2260397"/>
            <wp:effectExtent l="0" t="0" r="26035" b="26035"/>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876A13"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19FD4634"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The older age groups exhibited a completely different fertility behavior. For all women aged 30-44 years fertility </w:t>
      </w:r>
      <w:proofErr w:type="gramStart"/>
      <w:r w:rsidRPr="003E193C">
        <w:rPr>
          <w:rFonts w:ascii="Calibri" w:eastAsia="맑은 고딕" w:hAnsi="Calibri" w:cs="Calibri"/>
          <w:color w:val="auto"/>
        </w:rPr>
        <w:t>rose</w:t>
      </w:r>
      <w:proofErr w:type="gramEnd"/>
      <w:r w:rsidRPr="003E193C">
        <w:rPr>
          <w:rFonts w:ascii="Calibri" w:eastAsia="맑은 고딕" w:hAnsi="Calibri" w:cs="Calibri"/>
          <w:color w:val="auto"/>
        </w:rPr>
        <w:t xml:space="preserve"> significantly starting in the mid-1980s, and, at the time of writing, no signs of levelling off were observed (</w:t>
      </w:r>
      <w:r w:rsidRPr="003E193C">
        <w:rPr>
          <w:rFonts w:ascii="Calibri" w:eastAsia="맑은 고딕" w:hAnsi="Calibri" w:cs="Calibri" w:hint="eastAsia"/>
          <w:color w:val="auto"/>
        </w:rPr>
        <w:t xml:space="preserve">see </w:t>
      </w:r>
      <w:r w:rsidRPr="003E193C">
        <w:rPr>
          <w:rFonts w:ascii="Calibri" w:eastAsia="맑은 고딕" w:hAnsi="Calibri" w:cs="Calibri"/>
          <w:color w:val="auto"/>
        </w:rPr>
        <w:t>Fig. 3).</w:t>
      </w:r>
    </w:p>
    <w:p w14:paraId="247AF090"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b/>
          <w:bCs/>
          <w:color w:val="auto"/>
        </w:rPr>
        <w:lastRenderedPageBreak/>
        <w:t>Figure 3: Age-specific fertility rates (ASFR) in South Korea, per 1,000: age groups 30-34 years, 35-39 years, 40-44 years, and 45-49 years</w:t>
      </w:r>
    </w:p>
    <w:p w14:paraId="1B6B9C95" w14:textId="77777777" w:rsidR="003E193C" w:rsidRPr="003E193C" w:rsidRDefault="003E193C" w:rsidP="003E193C">
      <w:pPr>
        <w:widowControl w:val="0"/>
        <w:wordWrap w:val="0"/>
        <w:autoSpaceDE w:val="0"/>
        <w:autoSpaceDN w:val="0"/>
        <w:spacing w:after="200"/>
        <w:jc w:val="center"/>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w:drawing>
          <wp:inline distT="0" distB="0" distL="0" distR="0" wp14:anchorId="3E69C956" wp14:editId="7B5DBF15">
            <wp:extent cx="3990975" cy="2447925"/>
            <wp:effectExtent l="0" t="0" r="9525" b="9525"/>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62B28F" w14:textId="77777777" w:rsidR="003E193C" w:rsidRPr="003E193C" w:rsidRDefault="003E193C" w:rsidP="003E193C">
      <w:pPr>
        <w:widowControl w:val="0"/>
        <w:wordWrap w:val="0"/>
        <w:autoSpaceDE w:val="0"/>
        <w:autoSpaceDN w:val="0"/>
        <w:spacing w:after="200"/>
        <w:jc w:val="center"/>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w:drawing>
          <wp:inline distT="0" distB="0" distL="0" distR="0" wp14:anchorId="56787679" wp14:editId="6665E4E2">
            <wp:extent cx="3990975" cy="2581275"/>
            <wp:effectExtent l="0" t="0" r="9525" b="9525"/>
            <wp:docPr id="2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68D4CB"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5BB8361A"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The picture resembles closely the characteristics of fertility trajectories in the European countries with low fertility. There too the fertility among the young women declined. That, however, signaled the postponement of childbearing to older ages rather than the decision to have </w:t>
      </w:r>
      <w:proofErr w:type="gramStart"/>
      <w:r w:rsidRPr="003E193C">
        <w:rPr>
          <w:rFonts w:ascii="Calibri" w:eastAsia="맑은 고딕" w:hAnsi="Calibri" w:cs="Calibri"/>
          <w:color w:val="auto"/>
        </w:rPr>
        <w:t>less</w:t>
      </w:r>
      <w:proofErr w:type="gramEnd"/>
      <w:r w:rsidRPr="003E193C">
        <w:rPr>
          <w:rFonts w:ascii="Calibri" w:eastAsia="맑은 고딕" w:hAnsi="Calibri" w:cs="Calibri"/>
          <w:color w:val="auto"/>
        </w:rPr>
        <w:t xml:space="preserve"> children or no children whatsoever. After all, in many European countries the completed cohort fertility, i.e. the final number of children to women at the very end of their childbearing, did not change significantly between women born in 1955 and those born in 1965</w:t>
      </w:r>
      <w:r w:rsidRPr="003E193C">
        <w:rPr>
          <w:rFonts w:ascii="Calibri" w:eastAsia="맑은 고딕" w:hAnsi="Calibri" w:cs="Calibri"/>
          <w:color w:val="auto"/>
          <w:vertAlign w:val="superscript"/>
        </w:rPr>
        <w:footnoteReference w:id="5"/>
      </w:r>
      <w:r w:rsidRPr="003E193C">
        <w:rPr>
          <w:rFonts w:ascii="Calibri" w:eastAsia="맑은 고딕" w:hAnsi="Calibri" w:cs="Calibri"/>
          <w:color w:val="auto"/>
        </w:rPr>
        <w:t>. We will return to this issue later in the report.</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Concomitantly, the peak years of fertility (highest age-specific fertility) shifted from the 20s to the 30s of women’s lifespan. In the course of the first decade of the 21</w:t>
      </w:r>
      <w:r w:rsidRPr="003E193C">
        <w:rPr>
          <w:rFonts w:ascii="Calibri" w:eastAsia="맑은 고딕" w:hAnsi="Calibri" w:cs="Calibri"/>
          <w:color w:val="auto"/>
          <w:vertAlign w:val="superscript"/>
        </w:rPr>
        <w:t>st</w:t>
      </w:r>
      <w:r w:rsidRPr="003E193C">
        <w:rPr>
          <w:rFonts w:ascii="Calibri" w:eastAsia="맑은 고딕" w:hAnsi="Calibri" w:cs="Calibri"/>
          <w:color w:val="auto"/>
        </w:rPr>
        <w:t xml:space="preserve"> century total fertility rate </w:t>
      </w:r>
      <w:r w:rsidRPr="003E193C">
        <w:rPr>
          <w:rFonts w:ascii="Calibri" w:eastAsia="맑은 고딕" w:hAnsi="Calibri" w:cs="Calibri"/>
          <w:color w:val="auto"/>
        </w:rPr>
        <w:lastRenderedPageBreak/>
        <w:t xml:space="preserve">in many European countries grew reflecting the high and increasing fertility of women in their 30s. Let us remember that different age groups ‘compete’ for expression in TFR and, whilst the increase in fertility of women in their 30s in Europe had been taking place, the increase in TFR lagged behind as a result of continuing decline in fertility of women in their 20s. In the next sections we show that South Korean fertility is likely to follow its European counterparts’ path and its total fertility can be expected to recover </w:t>
      </w:r>
      <w:r w:rsidRPr="003E193C">
        <w:rPr>
          <w:rFonts w:ascii="Calibri" w:eastAsia="맑은 고딕" w:hAnsi="Calibri" w:cs="Calibri" w:hint="eastAsia"/>
          <w:color w:val="auto"/>
        </w:rPr>
        <w:t xml:space="preserve">eventually </w:t>
      </w:r>
      <w:r w:rsidRPr="003E193C">
        <w:rPr>
          <w:rFonts w:ascii="Calibri" w:eastAsia="맑은 고딕" w:hAnsi="Calibri" w:cs="Calibri"/>
          <w:color w:val="auto"/>
        </w:rPr>
        <w:t>in the future</w:t>
      </w:r>
      <w:r w:rsidRPr="003E193C">
        <w:rPr>
          <w:rFonts w:ascii="Calibri" w:eastAsia="맑은 고딕" w:hAnsi="Calibri" w:cs="Calibri" w:hint="eastAsia"/>
          <w:color w:val="auto"/>
        </w:rPr>
        <w:t>.</w:t>
      </w:r>
    </w:p>
    <w:p w14:paraId="450072CA"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b/>
          <w:bCs/>
          <w:color w:val="auto"/>
        </w:rPr>
        <w:t>The projection: TFR recovery in the second decade of the 21</w:t>
      </w:r>
      <w:r w:rsidRPr="003E193C">
        <w:rPr>
          <w:rFonts w:ascii="Calibri" w:eastAsia="맑은 고딕" w:hAnsi="Calibri" w:cs="Calibri"/>
          <w:b/>
          <w:bCs/>
          <w:color w:val="auto"/>
          <w:vertAlign w:val="superscript"/>
        </w:rPr>
        <w:t>st</w:t>
      </w:r>
      <w:r w:rsidRPr="003E193C">
        <w:rPr>
          <w:rFonts w:ascii="Calibri" w:eastAsia="맑은 고딕" w:hAnsi="Calibri" w:cs="Calibri"/>
          <w:b/>
          <w:bCs/>
          <w:color w:val="auto"/>
        </w:rPr>
        <w:t xml:space="preserve"> century</w:t>
      </w:r>
    </w:p>
    <w:p w14:paraId="3D408613"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kern w:val="2"/>
        </w:rPr>
        <w:t>We maintain that the processes that would, eventually, result in recovery at the level of the TFR have been going on for a while and observing their impact on TFR is only a matter of time. Fertility of women in their 30s was on the rise since the early 1990s, only it has not made its impact on the TFR as yet. The situation will change soon. South Korean fertility is on its way to recovery</w:t>
      </w:r>
      <w:r w:rsidRPr="003E193C">
        <w:rPr>
          <w:rFonts w:ascii="Calibri" w:eastAsia="맑은 고딕" w:hAnsi="Calibri" w:cs="Calibri" w:hint="eastAsia"/>
          <w:color w:val="auto"/>
          <w:kern w:val="2"/>
        </w:rPr>
        <w:t xml:space="preserve"> as shown in Fig. </w:t>
      </w:r>
      <w:r w:rsidRPr="003E193C">
        <w:rPr>
          <w:rFonts w:ascii="Calibri" w:eastAsia="맑은 고딕" w:hAnsi="Calibri" w:cs="Calibri"/>
          <w:color w:val="auto"/>
          <w:kern w:val="2"/>
        </w:rPr>
        <w:t xml:space="preserve">4. </w:t>
      </w:r>
    </w:p>
    <w:p w14:paraId="6F6466CF" w14:textId="7525A2F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kern w:val="2"/>
        </w:rPr>
        <w:t>To obtain the insight into the timing and the pace of TFR recovery a projection of age-specific fertility rate for the next decade has been produced. The projection relies on simple extrapolation of the observed trends for ages 25-44 years. It is assumed that fertility for ages 15-24 years will stabilize around th</w:t>
      </w:r>
      <w:r w:rsidR="00505E5F">
        <w:rPr>
          <w:rFonts w:ascii="Calibri" w:eastAsia="맑은 고딕" w:hAnsi="Calibri" w:cs="Calibri"/>
          <w:color w:val="auto"/>
          <w:kern w:val="2"/>
        </w:rPr>
        <w:t xml:space="preserve">e values most recently. For </w:t>
      </w:r>
      <w:r w:rsidR="00505E5F">
        <w:rPr>
          <w:rFonts w:ascii="Calibri" w:eastAsia="맑은 고딕" w:hAnsi="Calibri" w:cs="Calibri" w:hint="eastAsia"/>
          <w:color w:val="auto"/>
          <w:kern w:val="2"/>
        </w:rPr>
        <w:t>the</w:t>
      </w:r>
      <w:r w:rsidR="00505E5F">
        <w:rPr>
          <w:rFonts w:ascii="Calibri" w:eastAsia="맑은 고딕" w:hAnsi="Calibri" w:cs="Calibri"/>
          <w:color w:val="auto"/>
          <w:kern w:val="2"/>
        </w:rPr>
        <w:t xml:space="preserve"> 45-49</w:t>
      </w:r>
      <w:r w:rsidR="00505E5F">
        <w:rPr>
          <w:rFonts w:ascii="Calibri" w:eastAsia="맑은 고딕" w:hAnsi="Calibri" w:cs="Calibri" w:hint="eastAsia"/>
          <w:color w:val="auto"/>
          <w:kern w:val="2"/>
        </w:rPr>
        <w:t xml:space="preserve"> age </w:t>
      </w:r>
      <w:proofErr w:type="gramStart"/>
      <w:r w:rsidR="00505E5F">
        <w:rPr>
          <w:rFonts w:ascii="Calibri" w:eastAsia="맑은 고딕" w:hAnsi="Calibri" w:cs="Calibri" w:hint="eastAsia"/>
          <w:color w:val="auto"/>
          <w:kern w:val="2"/>
        </w:rPr>
        <w:t>group</w:t>
      </w:r>
      <w:proofErr w:type="gramEnd"/>
      <w:r w:rsidR="00D81257">
        <w:rPr>
          <w:rFonts w:ascii="Calibri" w:eastAsia="맑은 고딕" w:hAnsi="Calibri" w:cs="Calibri" w:hint="eastAsia"/>
          <w:color w:val="auto"/>
          <w:kern w:val="2"/>
        </w:rPr>
        <w:t>,</w:t>
      </w:r>
      <w:r w:rsidR="00505E5F">
        <w:rPr>
          <w:rFonts w:ascii="Calibri" w:eastAsia="맑은 고딕" w:hAnsi="Calibri" w:cs="Calibri" w:hint="eastAsia"/>
          <w:color w:val="auto"/>
          <w:kern w:val="2"/>
        </w:rPr>
        <w:t xml:space="preserve"> </w:t>
      </w:r>
      <w:r w:rsidR="00D81257">
        <w:rPr>
          <w:rFonts w:ascii="Calibri" w:eastAsia="맑은 고딕" w:hAnsi="Calibri" w:cs="Calibri" w:hint="eastAsia"/>
          <w:color w:val="auto"/>
          <w:kern w:val="2"/>
        </w:rPr>
        <w:t>the</w:t>
      </w:r>
      <w:r w:rsidRPr="003E193C">
        <w:rPr>
          <w:rFonts w:ascii="Calibri" w:eastAsia="맑은 고딕" w:hAnsi="Calibri" w:cs="Calibri"/>
          <w:color w:val="auto"/>
          <w:kern w:val="2"/>
        </w:rPr>
        <w:t xml:space="preserve"> stability at current values is </w:t>
      </w:r>
      <w:r w:rsidR="00D81257">
        <w:rPr>
          <w:rFonts w:ascii="Calibri" w:eastAsia="맑은 고딕" w:hAnsi="Calibri" w:cs="Calibri" w:hint="eastAsia"/>
          <w:color w:val="auto"/>
          <w:kern w:val="2"/>
        </w:rPr>
        <w:t xml:space="preserve">also </w:t>
      </w:r>
      <w:r w:rsidRPr="003E193C">
        <w:rPr>
          <w:rFonts w:ascii="Calibri" w:eastAsia="맑은 고딕" w:hAnsi="Calibri" w:cs="Calibri"/>
          <w:color w:val="auto"/>
          <w:kern w:val="2"/>
        </w:rPr>
        <w:t>assumed.</w:t>
      </w:r>
    </w:p>
    <w:p w14:paraId="79C90037"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hint="eastAsia"/>
          <w:color w:val="auto"/>
          <w:kern w:val="2"/>
        </w:rPr>
        <w:t>Those in the 35</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 xml:space="preserve">39 year age group are expected to </w:t>
      </w:r>
      <w:r w:rsidRPr="003E193C">
        <w:rPr>
          <w:rFonts w:ascii="Calibri" w:eastAsia="맑은 고딕" w:hAnsi="Calibri" w:cs="Calibri"/>
          <w:color w:val="auto"/>
          <w:kern w:val="2"/>
        </w:rPr>
        <w:t>have the steepest increase in fertility followed by those in the 30-34 year age group. These age groups will determine the TFR trajectory in the course of the next decade.</w:t>
      </w:r>
    </w:p>
    <w:p w14:paraId="2F1A4946" w14:textId="77777777" w:rsidR="003E193C" w:rsidRPr="003E193C" w:rsidRDefault="003E193C" w:rsidP="003E193C">
      <w:pPr>
        <w:widowControl w:val="0"/>
        <w:wordWrap w:val="0"/>
        <w:autoSpaceDE w:val="0"/>
        <w:autoSpaceDN w:val="0"/>
        <w:spacing w:after="200"/>
        <w:rPr>
          <w:rFonts w:ascii="Calibri" w:eastAsia="맑은 고딕" w:hAnsi="Calibri" w:cs="Calibri"/>
          <w:b/>
          <w:bCs/>
          <w:color w:val="auto"/>
        </w:rPr>
      </w:pPr>
      <w:r w:rsidRPr="003E193C">
        <w:rPr>
          <w:rFonts w:ascii="Calibri" w:eastAsia="맑은 고딕" w:hAnsi="Calibri" w:cs="Calibri"/>
          <w:b/>
          <w:bCs/>
          <w:color w:val="auto"/>
        </w:rPr>
        <w:t>Figure 4: Age-specific fertility rates in South Korea (per 1,000): the actual and the projected</w:t>
      </w:r>
    </w:p>
    <w:p w14:paraId="1E79CFAF" w14:textId="77777777" w:rsidR="003E193C" w:rsidRDefault="003E193C" w:rsidP="003E193C">
      <w:pPr>
        <w:widowControl w:val="0"/>
        <w:wordWrap w:val="0"/>
        <w:autoSpaceDE w:val="0"/>
        <w:autoSpaceDN w:val="0"/>
        <w:spacing w:after="200"/>
        <w:jc w:val="center"/>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mc:AlternateContent>
          <mc:Choice Requires="wps">
            <w:drawing>
              <wp:anchor distT="0" distB="0" distL="114300" distR="114300" simplePos="0" relativeHeight="251652096" behindDoc="0" locked="0" layoutInCell="1" allowOverlap="1" wp14:anchorId="6E0AA5A3" wp14:editId="298161DE">
                <wp:simplePos x="0" y="0"/>
                <wp:positionH relativeFrom="column">
                  <wp:posOffset>3963670</wp:posOffset>
                </wp:positionH>
                <wp:positionV relativeFrom="paragraph">
                  <wp:posOffset>88570</wp:posOffset>
                </wp:positionV>
                <wp:extent cx="0" cy="2662733"/>
                <wp:effectExtent l="0" t="0" r="19050" b="23495"/>
                <wp:wrapNone/>
                <wp:docPr id="13" name="직선 연결선 4"/>
                <wp:cNvGraphicFramePr/>
                <a:graphic xmlns:a="http://schemas.openxmlformats.org/drawingml/2006/main">
                  <a:graphicData uri="http://schemas.microsoft.com/office/word/2010/wordprocessingShape">
                    <wps:wsp>
                      <wps:cNvCnPr/>
                      <wps:spPr>
                        <a:xfrm>
                          <a:off x="0" y="0"/>
                          <a:ext cx="0" cy="2662733"/>
                        </a:xfrm>
                        <a:prstGeom prst="line">
                          <a:avLst/>
                        </a:prstGeom>
                        <a:noFill/>
                        <a:ln w="15875" cap="flat" cmpd="sng" algn="ctr">
                          <a:solidFill>
                            <a:sysClr val="windowText" lastClr="000000"/>
                          </a:solidFill>
                          <a:prstDash val="lgDash"/>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25EA29BE" id="직선 연결선 4"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1pt,6.95pt" to="312.1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" strokecolor="windowText" strokeweight="1.25pt">
                <v:stroke dashstyle="longDash"/>
              </v:line>
            </w:pict>
          </mc:Fallback>
        </mc:AlternateContent>
      </w:r>
      <w:r w:rsidRPr="003E193C">
        <w:rPr>
          <w:rFonts w:ascii="맑은 고딕" w:eastAsia="맑은 고딕" w:hAnsi="맑은 고딕" w:cs="Times New Roman"/>
          <w:noProof/>
          <w:color w:val="auto"/>
          <w:kern w:val="2"/>
          <w:sz w:val="20"/>
        </w:rPr>
        <w:drawing>
          <wp:inline distT="0" distB="0" distL="0" distR="0" wp14:anchorId="63943AAB" wp14:editId="489B94BA">
            <wp:extent cx="5340096" cy="3182112"/>
            <wp:effectExtent l="0" t="0" r="13335" b="18415"/>
            <wp:docPr id="23" name="차트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26B767F" w14:textId="77777777" w:rsidR="00444821" w:rsidRPr="003E193C" w:rsidRDefault="00444821" w:rsidP="003E193C">
      <w:pPr>
        <w:widowControl w:val="0"/>
        <w:wordWrap w:val="0"/>
        <w:autoSpaceDE w:val="0"/>
        <w:autoSpaceDN w:val="0"/>
        <w:spacing w:after="200"/>
        <w:jc w:val="center"/>
        <w:rPr>
          <w:rFonts w:ascii="Calibri" w:eastAsia="맑은 고딕" w:hAnsi="Calibri" w:cs="Calibri"/>
          <w:color w:val="auto"/>
          <w:kern w:val="2"/>
        </w:rPr>
      </w:pPr>
    </w:p>
    <w:p w14:paraId="42212A77"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w:t>
      </w:r>
      <w:r w:rsidRPr="003E193C">
        <w:rPr>
          <w:rFonts w:ascii="Calibri" w:eastAsia="맑은 고딕" w:hAnsi="Calibri" w:cs="Calibri"/>
          <w:color w:val="auto"/>
        </w:rPr>
        <w:t>e.</w:t>
      </w:r>
      <w:r w:rsidRPr="003E193C">
        <w:rPr>
          <w:rFonts w:ascii="Calibri" w:eastAsia="맑은 고딕" w:hAnsi="Calibri" w:cs="Calibri" w:hint="eastAsia"/>
          <w:color w:val="auto"/>
        </w:rPr>
        <w:t xml:space="preserve"> </w:t>
      </w:r>
      <w:r w:rsidRPr="003E193C">
        <w:rPr>
          <w:rFonts w:ascii="Calibri" w:eastAsia="맑은 고딕" w:hAnsi="Calibri" w:cs="Calibri" w:hint="eastAsia"/>
          <w:color w:val="auto"/>
          <w:kern w:val="2"/>
        </w:rPr>
        <w:t>It is noted that</w:t>
      </w:r>
      <w:r w:rsidRPr="003E193C">
        <w:rPr>
          <w:rFonts w:ascii="Calibri" w:eastAsia="맑은 고딕" w:hAnsi="Calibri" w:cs="Calibri"/>
          <w:color w:val="auto"/>
          <w:kern w:val="2"/>
        </w:rPr>
        <w:t xml:space="preserve"> </w:t>
      </w:r>
      <w:r w:rsidRPr="003E193C">
        <w:rPr>
          <w:rFonts w:ascii="Calibri" w:eastAsia="맑은 고딕" w:hAnsi="Calibri" w:cs="Calibri" w:hint="eastAsia"/>
          <w:color w:val="auto"/>
          <w:kern w:val="2"/>
        </w:rPr>
        <w:t>p</w:t>
      </w:r>
      <w:r w:rsidRPr="003E193C">
        <w:rPr>
          <w:rFonts w:ascii="Calibri" w:eastAsia="맑은 고딕" w:hAnsi="Calibri" w:cs="Calibri"/>
          <w:color w:val="auto"/>
          <w:kern w:val="2"/>
        </w:rPr>
        <w:t>olynomial extrapolation</w:t>
      </w:r>
      <w:r w:rsidRPr="003E193C">
        <w:rPr>
          <w:rFonts w:ascii="Calibri" w:eastAsia="맑은 고딕" w:hAnsi="Calibri" w:cs="Calibri" w:hint="eastAsia"/>
          <w:color w:val="auto"/>
          <w:kern w:val="2"/>
        </w:rPr>
        <w:t xml:space="preserve"> based on data from 1993 to 2015 were </w:t>
      </w:r>
      <w:r w:rsidRPr="003E193C">
        <w:rPr>
          <w:rFonts w:ascii="Calibri" w:eastAsia="맑은 고딕" w:hAnsi="Calibri" w:cs="Calibri"/>
          <w:color w:val="auto"/>
          <w:kern w:val="2"/>
        </w:rPr>
        <w:t>carried</w:t>
      </w:r>
      <w:r w:rsidRPr="003E193C">
        <w:rPr>
          <w:rFonts w:ascii="Calibri" w:eastAsia="맑은 고딕" w:hAnsi="Calibri" w:cs="Calibri" w:hint="eastAsia"/>
          <w:color w:val="auto"/>
          <w:kern w:val="2"/>
        </w:rPr>
        <w:t xml:space="preserve"> out</w:t>
      </w:r>
      <w:r w:rsidRPr="003E193C">
        <w:rPr>
          <w:rFonts w:ascii="Calibri" w:eastAsia="맑은 고딕" w:hAnsi="Calibri" w:cs="Calibri"/>
          <w:color w:val="auto"/>
          <w:kern w:val="2"/>
        </w:rPr>
        <w:t xml:space="preserve"> </w:t>
      </w:r>
      <w:r w:rsidRPr="003E193C">
        <w:rPr>
          <w:rFonts w:ascii="Calibri" w:eastAsia="맑은 고딕" w:hAnsi="Calibri" w:cs="Calibri" w:hint="eastAsia"/>
          <w:color w:val="auto"/>
          <w:kern w:val="2"/>
        </w:rPr>
        <w:t xml:space="preserve">to predict the future ASFRs </w:t>
      </w:r>
      <w:r w:rsidRPr="003E193C">
        <w:rPr>
          <w:rFonts w:ascii="Calibri" w:eastAsia="맑은 고딕" w:hAnsi="Calibri" w:cs="Calibri"/>
          <w:color w:val="auto"/>
          <w:kern w:val="2"/>
        </w:rPr>
        <w:t xml:space="preserve">for </w:t>
      </w:r>
      <w:r w:rsidRPr="003E193C">
        <w:rPr>
          <w:rFonts w:ascii="Calibri" w:eastAsia="맑은 고딕" w:hAnsi="Calibri" w:cs="Calibri" w:hint="eastAsia"/>
          <w:color w:val="auto"/>
          <w:kern w:val="2"/>
        </w:rPr>
        <w:t xml:space="preserve">the </w:t>
      </w:r>
      <w:r w:rsidRPr="003E193C">
        <w:rPr>
          <w:rFonts w:ascii="Calibri" w:eastAsia="맑은 고딕" w:hAnsi="Calibri" w:cs="Calibri"/>
          <w:color w:val="auto"/>
          <w:kern w:val="2"/>
        </w:rPr>
        <w:t>age</w:t>
      </w:r>
      <w:r w:rsidRPr="003E193C">
        <w:rPr>
          <w:rFonts w:ascii="Calibri" w:eastAsia="맑은 고딕" w:hAnsi="Calibri" w:cs="Calibri" w:hint="eastAsia"/>
          <w:color w:val="auto"/>
          <w:kern w:val="2"/>
        </w:rPr>
        <w:t xml:space="preserve"> groups</w:t>
      </w:r>
      <w:r w:rsidRPr="003E193C">
        <w:rPr>
          <w:rFonts w:ascii="Calibri" w:eastAsia="맑은 고딕" w:hAnsi="Calibri" w:cs="Calibri"/>
          <w:color w:val="auto"/>
          <w:kern w:val="2"/>
        </w:rPr>
        <w:t xml:space="preserve"> </w:t>
      </w:r>
      <w:r w:rsidRPr="003E193C">
        <w:rPr>
          <w:rFonts w:ascii="Calibri" w:eastAsia="맑은 고딕" w:hAnsi="Calibri" w:cs="Calibri" w:hint="eastAsia"/>
          <w:color w:val="auto"/>
          <w:kern w:val="2"/>
        </w:rPr>
        <w:t xml:space="preserve">between </w:t>
      </w:r>
      <w:r w:rsidRPr="003E193C">
        <w:rPr>
          <w:rFonts w:ascii="Calibri" w:eastAsia="맑은 고딕" w:hAnsi="Calibri" w:cs="Calibri"/>
          <w:color w:val="auto"/>
          <w:kern w:val="2"/>
        </w:rPr>
        <w:t>25</w:t>
      </w:r>
      <w:r w:rsidRPr="003E193C">
        <w:rPr>
          <w:rFonts w:ascii="Calibri" w:eastAsia="맑은 고딕" w:hAnsi="Calibri" w:cs="Calibri" w:hint="eastAsia"/>
          <w:color w:val="auto"/>
          <w:kern w:val="2"/>
        </w:rPr>
        <w:t xml:space="preserve"> and </w:t>
      </w:r>
      <w:r w:rsidRPr="003E193C">
        <w:rPr>
          <w:rFonts w:ascii="Calibri" w:eastAsia="맑은 고딕" w:hAnsi="Calibri" w:cs="Calibri"/>
          <w:color w:val="auto"/>
          <w:kern w:val="2"/>
        </w:rPr>
        <w:t>44 years</w:t>
      </w:r>
      <w:r w:rsidRPr="003E193C">
        <w:rPr>
          <w:rFonts w:ascii="Calibri" w:eastAsia="맑은 고딕" w:hAnsi="Calibri" w:cs="Calibri" w:hint="eastAsia"/>
          <w:color w:val="auto"/>
          <w:kern w:val="2"/>
        </w:rPr>
        <w:t xml:space="preserve"> with fitted curves all having R</w:t>
      </w:r>
      <w:r w:rsidRPr="003E193C">
        <w:rPr>
          <w:rFonts w:ascii="Calibri" w:eastAsia="맑은 고딕" w:hAnsi="Calibri" w:cs="Calibri" w:hint="eastAsia"/>
          <w:color w:val="auto"/>
          <w:kern w:val="2"/>
          <w:vertAlign w:val="superscript"/>
        </w:rPr>
        <w:t>2</w:t>
      </w:r>
      <w:r w:rsidRPr="003E193C">
        <w:rPr>
          <w:rFonts w:ascii="Calibri" w:eastAsia="맑은 고딕" w:hAnsi="Calibri" w:cs="Calibri" w:hint="eastAsia"/>
          <w:color w:val="auto"/>
          <w:kern w:val="2"/>
        </w:rPr>
        <w:t xml:space="preserve"> &gt; 0.9, but other age groups were fixed at 2015 ASFRs.</w:t>
      </w:r>
      <w:r w:rsidRPr="003E193C">
        <w:rPr>
          <w:rFonts w:ascii="Calibri" w:eastAsia="맑은 고딕" w:hAnsi="Calibri" w:cs="Calibri"/>
          <w:color w:val="auto"/>
          <w:kern w:val="2"/>
          <w:vertAlign w:val="superscript"/>
        </w:rPr>
        <w:footnoteReference w:id="6"/>
      </w:r>
    </w:p>
    <w:p w14:paraId="0D66F26C" w14:textId="754A137F" w:rsidR="003E193C" w:rsidRPr="003E193C" w:rsidRDefault="003E193C" w:rsidP="003E193C">
      <w:pPr>
        <w:widowControl w:val="0"/>
        <w:wordWrap w:val="0"/>
        <w:autoSpaceDE w:val="0"/>
        <w:autoSpaceDN w:val="0"/>
        <w:spacing w:after="200"/>
        <w:jc w:val="both"/>
        <w:rPr>
          <w:rFonts w:ascii="Calibri" w:eastAsia="맑은 고딕" w:hAnsi="Calibri" w:cs="Calibri"/>
          <w:color w:val="00B050"/>
        </w:rPr>
      </w:pPr>
      <w:r w:rsidRPr="003E193C">
        <w:rPr>
          <w:rFonts w:ascii="Calibri" w:eastAsia="맑은 고딕" w:hAnsi="Calibri" w:cs="Calibri" w:hint="eastAsia"/>
          <w:color w:val="auto"/>
        </w:rPr>
        <w:t xml:space="preserve">Fig. 5 shows an upward trend in TFR over the </w:t>
      </w:r>
      <w:r w:rsidR="00F62E1E">
        <w:rPr>
          <w:rFonts w:ascii="Calibri" w:eastAsia="맑은 고딕" w:hAnsi="Calibri" w:cs="Calibri" w:hint="eastAsia"/>
          <w:color w:val="auto"/>
        </w:rPr>
        <w:t>10 year period from 2006 to 2015</w:t>
      </w:r>
      <w:r w:rsidRPr="003E193C">
        <w:rPr>
          <w:rFonts w:ascii="Calibri" w:eastAsia="맑은 고딕" w:hAnsi="Calibri" w:cs="Calibri" w:hint="eastAsia"/>
          <w:color w:val="auto"/>
        </w:rPr>
        <w:t xml:space="preserve">, during which the South Korean government was desperately trying to raise the number of children being born. </w:t>
      </w:r>
      <w:r w:rsidRPr="003E193C">
        <w:rPr>
          <w:rFonts w:ascii="Calibri" w:eastAsia="맑은 고딕" w:hAnsi="Calibri" w:cs="Calibri"/>
          <w:color w:val="auto"/>
        </w:rPr>
        <w:t>Using extrapolation of the trend in age-specific fertility ra</w:t>
      </w:r>
      <w:r w:rsidRPr="003E193C">
        <w:rPr>
          <w:rFonts w:ascii="Calibri" w:eastAsia="맑은 고딕" w:hAnsi="Calibri" w:cs="Calibri" w:hint="eastAsia"/>
          <w:color w:val="auto"/>
        </w:rPr>
        <w:t>te</w:t>
      </w:r>
      <w:r w:rsidRPr="003E193C">
        <w:rPr>
          <w:rFonts w:ascii="Calibri" w:eastAsia="맑은 고딕" w:hAnsi="Calibri" w:cs="Calibri"/>
          <w:color w:val="auto"/>
        </w:rPr>
        <w:t>s</w:t>
      </w:r>
      <w:r w:rsidRPr="003E193C">
        <w:rPr>
          <w:rFonts w:ascii="Calibri" w:eastAsia="맑은 고딕" w:hAnsi="Calibri" w:cs="Calibri" w:hint="eastAsia"/>
          <w:color w:val="auto"/>
        </w:rPr>
        <w:t>,</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it is</w:t>
      </w:r>
      <w:r w:rsidRPr="003E193C">
        <w:rPr>
          <w:rFonts w:ascii="Calibri" w:eastAsia="맑은 고딕" w:hAnsi="Calibri" w:cs="Calibri"/>
          <w:color w:val="auto"/>
        </w:rPr>
        <w:t xml:space="preserve"> determined that S</w:t>
      </w:r>
      <w:r w:rsidRPr="003E193C">
        <w:rPr>
          <w:rFonts w:ascii="Calibri" w:eastAsia="맑은 고딕" w:hAnsi="Calibri" w:cs="Calibri" w:hint="eastAsia"/>
          <w:color w:val="auto"/>
        </w:rPr>
        <w:t>outh</w:t>
      </w:r>
      <w:r w:rsidRPr="003E193C">
        <w:rPr>
          <w:rFonts w:ascii="Calibri" w:eastAsia="맑은 고딕" w:hAnsi="Calibri" w:cs="Calibri"/>
          <w:color w:val="auto"/>
        </w:rPr>
        <w:t xml:space="preserve"> Korea </w:t>
      </w:r>
      <w:r w:rsidRPr="003E193C">
        <w:rPr>
          <w:rFonts w:ascii="Calibri" w:eastAsia="맑은 고딕" w:hAnsi="Calibri" w:cs="Calibri" w:hint="eastAsia"/>
          <w:color w:val="auto"/>
        </w:rPr>
        <w:t xml:space="preserve">is at the tail end of the </w:t>
      </w:r>
      <w:r w:rsidRPr="003E193C">
        <w:rPr>
          <w:rFonts w:ascii="Calibri" w:eastAsia="맑은 고딕" w:hAnsi="Calibri" w:cs="Calibri"/>
          <w:color w:val="auto"/>
        </w:rPr>
        <w:t>‘</w:t>
      </w:r>
      <w:r w:rsidRPr="003E193C">
        <w:rPr>
          <w:rFonts w:ascii="Calibri" w:eastAsia="맑은 고딕" w:hAnsi="Calibri" w:cs="Calibri" w:hint="eastAsia"/>
          <w:color w:val="auto"/>
        </w:rPr>
        <w:t>lowest low fertility</w:t>
      </w:r>
      <w:r w:rsidRPr="003E193C">
        <w:rPr>
          <w:rFonts w:ascii="Calibri" w:eastAsia="맑은 고딕" w:hAnsi="Calibri" w:cs="Calibri"/>
          <w:color w:val="auto"/>
        </w:rPr>
        <w:t>’</w:t>
      </w:r>
      <w:r w:rsidRPr="003E193C">
        <w:rPr>
          <w:rFonts w:ascii="Calibri" w:eastAsia="맑은 고딕" w:hAnsi="Calibri" w:cs="Calibri" w:hint="eastAsia"/>
          <w:color w:val="auto"/>
        </w:rPr>
        <w:t xml:space="preserve"> phase and, by</w:t>
      </w:r>
      <w:r w:rsidRPr="003E193C">
        <w:rPr>
          <w:rFonts w:ascii="Calibri" w:eastAsia="맑은 고딕" w:hAnsi="Calibri" w:cs="Calibri"/>
          <w:color w:val="auto"/>
        </w:rPr>
        <w:t xml:space="preserve"> 20</w:t>
      </w:r>
      <w:r w:rsidRPr="003E193C">
        <w:rPr>
          <w:rFonts w:ascii="Calibri" w:eastAsia="맑은 고딕" w:hAnsi="Calibri" w:cs="Calibri" w:hint="eastAsia"/>
          <w:color w:val="auto"/>
        </w:rPr>
        <w:t>24,</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it</w:t>
      </w:r>
      <w:r w:rsidRPr="003E193C">
        <w:rPr>
          <w:rFonts w:ascii="Calibri" w:eastAsia="맑은 고딕" w:hAnsi="Calibri" w:cs="Calibri"/>
          <w:color w:val="auto"/>
        </w:rPr>
        <w:t xml:space="preserve"> is expected to surpass the levels seen in 1993.</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That would make S</w:t>
      </w:r>
      <w:r w:rsidRPr="003E193C">
        <w:rPr>
          <w:rFonts w:ascii="Calibri" w:eastAsia="맑은 고딕" w:hAnsi="Calibri" w:cs="Calibri" w:hint="eastAsia"/>
          <w:color w:val="auto"/>
        </w:rPr>
        <w:t>outh</w:t>
      </w:r>
      <w:r w:rsidRPr="003E193C">
        <w:rPr>
          <w:rFonts w:ascii="Calibri" w:eastAsia="맑은 고딕" w:hAnsi="Calibri" w:cs="Calibri"/>
          <w:color w:val="auto"/>
        </w:rPr>
        <w:t xml:space="preserve"> Korea’</w:t>
      </w:r>
      <w:r w:rsidRPr="003E193C">
        <w:rPr>
          <w:rFonts w:ascii="Calibri" w:eastAsia="맑은 고딕" w:hAnsi="Calibri" w:cs="Calibri" w:hint="eastAsia"/>
          <w:color w:val="auto"/>
        </w:rPr>
        <w:t>s</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TFR</w:t>
      </w:r>
      <w:r w:rsidRPr="003E193C">
        <w:rPr>
          <w:rFonts w:ascii="Calibri" w:eastAsia="맑은 고딕" w:hAnsi="Calibri" w:cs="Calibri"/>
          <w:color w:val="auto"/>
        </w:rPr>
        <w:t xml:space="preserve"> resemble the levels seen today in Canada, Finland and the Netherlands. Whether or not a projected increase in fertility will be translated into a greater number of births is a different matter to be addressed in the following sections of this paper.</w:t>
      </w:r>
      <w:r w:rsidRPr="003E193C">
        <w:rPr>
          <w:rFonts w:ascii="Calibri" w:eastAsia="맑은 고딕" w:hAnsi="Calibri" w:cs="Calibri" w:hint="eastAsia"/>
          <w:color w:val="auto"/>
        </w:rPr>
        <w:t xml:space="preserve"> </w:t>
      </w:r>
    </w:p>
    <w:p w14:paraId="416ECEE2" w14:textId="6790C1DE" w:rsidR="003E193C" w:rsidRPr="003E193C" w:rsidRDefault="00425821" w:rsidP="003E193C">
      <w:pPr>
        <w:widowControl w:val="0"/>
        <w:wordWrap w:val="0"/>
        <w:autoSpaceDE w:val="0"/>
        <w:autoSpaceDN w:val="0"/>
        <w:spacing w:after="200"/>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w:drawing>
          <wp:anchor distT="0" distB="71755" distL="114300" distR="114300" simplePos="0" relativeHeight="251668480" behindDoc="0" locked="0" layoutInCell="1" allowOverlap="1" wp14:anchorId="13A57EE9" wp14:editId="6571DE51">
            <wp:simplePos x="0" y="0"/>
            <wp:positionH relativeFrom="column">
              <wp:posOffset>190500</wp:posOffset>
            </wp:positionH>
            <wp:positionV relativeFrom="paragraph">
              <wp:posOffset>328295</wp:posOffset>
            </wp:positionV>
            <wp:extent cx="5543550" cy="3038475"/>
            <wp:effectExtent l="0" t="0" r="19050" b="9525"/>
            <wp:wrapTopAndBottom/>
            <wp:docPr id="24" name="차트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3E193C" w:rsidRPr="003E193C">
        <w:rPr>
          <w:rFonts w:ascii="Calibri" w:eastAsia="맑은 고딕" w:hAnsi="Calibri" w:cs="Calibri"/>
          <w:b/>
          <w:bCs/>
          <w:color w:val="auto"/>
        </w:rPr>
        <w:t>Figure 5: TFR in South Korea (</w:t>
      </w:r>
      <w:r w:rsidR="003E193C" w:rsidRPr="003E193C">
        <w:rPr>
          <w:rFonts w:ascii="Calibri" w:eastAsia="맑은 고딕" w:hAnsi="Calibri" w:cs="Calibri" w:hint="eastAsia"/>
          <w:b/>
          <w:bCs/>
          <w:color w:val="auto"/>
        </w:rPr>
        <w:t>per Woman</w:t>
      </w:r>
      <w:r w:rsidR="003E193C" w:rsidRPr="003E193C">
        <w:rPr>
          <w:rFonts w:ascii="Calibri" w:eastAsia="맑은 고딕" w:hAnsi="Calibri" w:cs="Calibri"/>
          <w:b/>
          <w:bCs/>
          <w:color w:val="auto"/>
        </w:rPr>
        <w:t>): the actual and the projected</w:t>
      </w:r>
    </w:p>
    <w:p w14:paraId="5303900A" w14:textId="64032434"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4AB9A49A" w14:textId="77777777" w:rsidR="003E193C" w:rsidRPr="003E193C" w:rsidRDefault="003E193C" w:rsidP="003E193C">
      <w:pPr>
        <w:widowControl w:val="0"/>
        <w:wordWrap w:val="0"/>
        <w:autoSpaceDE w:val="0"/>
        <w:autoSpaceDN w:val="0"/>
        <w:spacing w:after="200"/>
        <w:jc w:val="both"/>
        <w:rPr>
          <w:rFonts w:ascii="Calibri" w:eastAsia="맑은 고딕" w:hAnsi="Calibri" w:cs="Calibri"/>
          <w:b/>
          <w:bCs/>
          <w:color w:val="auto"/>
        </w:rPr>
      </w:pPr>
      <w:r w:rsidRPr="003E193C">
        <w:rPr>
          <w:rFonts w:ascii="Calibri" w:eastAsia="맑은 고딕" w:hAnsi="Calibri" w:cs="Calibri" w:hint="eastAsia"/>
          <w:b/>
          <w:bCs/>
          <w:color w:val="auto"/>
        </w:rPr>
        <w:t>The</w:t>
      </w:r>
      <w:r w:rsidRPr="003E193C">
        <w:rPr>
          <w:rFonts w:ascii="Calibri" w:eastAsia="맑은 고딕" w:hAnsi="Calibri" w:cs="Calibri"/>
          <w:b/>
          <w:bCs/>
          <w:color w:val="auto"/>
        </w:rPr>
        <w:t xml:space="preserve"> meaning of the crash and the recovery in South Korean fertility </w:t>
      </w:r>
    </w:p>
    <w:p w14:paraId="4EEC8109" w14:textId="0AF03DAB" w:rsidR="003E193C" w:rsidRP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We have shown above that the dramatic decline in TFR in South Korea was driven by fertility decline among women in their 20s, whilst the currently observed stabilization and the projected increase will be led by the increasing fertility of women in their 30s. It is important to obtain clarity as to what </w:t>
      </w:r>
      <w:r w:rsidRPr="003E193C">
        <w:rPr>
          <w:rFonts w:ascii="Calibri" w:eastAsia="맑은 고딕" w:hAnsi="Calibri" w:cs="Calibri"/>
          <w:color w:val="auto"/>
        </w:rPr>
        <w:lastRenderedPageBreak/>
        <w:t>these developments represent and, in particular, the social forces behind them. The successive governments of South Korea have set, to date, three plans</w:t>
      </w:r>
      <w:r w:rsidR="00A277C8">
        <w:rPr>
          <w:rStyle w:val="af0"/>
          <w:rFonts w:ascii="Calibri" w:eastAsia="맑은 고딕" w:hAnsi="Calibri" w:cs="Calibri"/>
          <w:color w:val="auto"/>
        </w:rPr>
        <w:footnoteReference w:id="7"/>
      </w:r>
      <w:r w:rsidRPr="003E193C">
        <w:rPr>
          <w:rFonts w:ascii="Calibri" w:eastAsia="맑은 고딕" w:hAnsi="Calibri" w:cs="Calibri"/>
          <w:color w:val="auto"/>
        </w:rPr>
        <w:t xml:space="preserve"> focused on increasing fertility. However, the most important question to ask in relation to any government </w:t>
      </w:r>
      <w:proofErr w:type="spellStart"/>
      <w:r w:rsidRPr="003E193C">
        <w:rPr>
          <w:rFonts w:ascii="Calibri" w:eastAsia="맑은 고딕" w:hAnsi="Calibri" w:cs="Calibri"/>
          <w:color w:val="auto"/>
        </w:rPr>
        <w:t>programme</w:t>
      </w:r>
      <w:proofErr w:type="spellEnd"/>
      <w:r w:rsidRPr="003E193C">
        <w:rPr>
          <w:rFonts w:ascii="Calibri" w:eastAsia="맑은 고딕" w:hAnsi="Calibri" w:cs="Calibri"/>
          <w:color w:val="auto"/>
        </w:rPr>
        <w:t xml:space="preserve"> aimed at changing fertility is just how well it is targeted and how well it understands the causal mechanisms behind fertility that it purports to change.</w:t>
      </w:r>
    </w:p>
    <w:p w14:paraId="621F0EFC" w14:textId="458335B8" w:rsidR="003E193C" w:rsidRPr="003E193C" w:rsidRDefault="003E193C" w:rsidP="003E193C">
      <w:pPr>
        <w:widowControl w:val="0"/>
        <w:autoSpaceDE w:val="0"/>
        <w:autoSpaceDN w:val="0"/>
        <w:adjustRightInd w:val="0"/>
        <w:spacing w:after="200"/>
        <w:jc w:val="both"/>
        <w:rPr>
          <w:rFonts w:ascii="Calibri" w:eastAsia="맑은 고딕" w:hAnsi="Calibri" w:cs="Calibri"/>
        </w:rPr>
      </w:pPr>
      <w:r w:rsidRPr="003E193C">
        <w:rPr>
          <w:rFonts w:ascii="Calibri" w:eastAsia="맑은 고딕" w:hAnsi="Calibri" w:cs="Calibri"/>
          <w:color w:val="auto"/>
        </w:rPr>
        <w:t>The general sense of gloom in front of low and falling fertility in South Kore</w:t>
      </w:r>
      <w:r w:rsidRPr="003E193C">
        <w:rPr>
          <w:rFonts w:ascii="Calibri" w:eastAsia="맑은 고딕" w:hAnsi="Calibri" w:cs="Calibri" w:hint="eastAsia"/>
          <w:color w:val="auto"/>
        </w:rPr>
        <w:t>a</w:t>
      </w:r>
      <w:r w:rsidRPr="003E193C">
        <w:rPr>
          <w:rFonts w:ascii="Calibri" w:eastAsia="맑은 고딕" w:hAnsi="Calibri" w:cs="Calibri"/>
          <w:color w:val="auto"/>
        </w:rPr>
        <w:t xml:space="preserve"> stems, more often than not, from examination of TFR, a summary measure of fertility, and </w:t>
      </w:r>
      <w:r w:rsidRPr="003E193C">
        <w:rPr>
          <w:rFonts w:ascii="Calibri" w:eastAsia="맑은 고딕" w:hAnsi="Calibri" w:cs="Calibri" w:hint="eastAsia"/>
          <w:color w:val="auto"/>
        </w:rPr>
        <w:t xml:space="preserve">perhaps </w:t>
      </w:r>
      <w:r w:rsidRPr="003E193C">
        <w:rPr>
          <w:rFonts w:ascii="Calibri" w:eastAsia="맑은 고딕" w:hAnsi="Calibri" w:cs="Calibri" w:hint="eastAsia"/>
        </w:rPr>
        <w:t xml:space="preserve">drawing out implications a little too far into the future. There has even been a newspaper article saying South Korea as nation will disappear some time in future due to shrinking population. </w:t>
      </w:r>
      <w:r w:rsidRPr="003E193C">
        <w:rPr>
          <w:rFonts w:ascii="Calibri" w:eastAsia="맑은 고딕" w:hAnsi="Calibri" w:cs="Calibri"/>
          <w:color w:val="auto"/>
        </w:rPr>
        <w:t xml:space="preserve">A dramatic fall in TFR in the West and in South Korea </w:t>
      </w:r>
      <w:r w:rsidRPr="003E193C">
        <w:rPr>
          <w:rFonts w:ascii="Calibri" w:eastAsia="맑은 고딕" w:hAnsi="Calibri" w:cs="Calibri" w:hint="eastAsia"/>
          <w:color w:val="auto"/>
        </w:rPr>
        <w:t>indicate</w:t>
      </w:r>
      <w:r w:rsidRPr="003E193C">
        <w:rPr>
          <w:rFonts w:ascii="Calibri" w:eastAsia="맑은 고딕" w:hAnsi="Calibri" w:cs="Calibri"/>
          <w:color w:val="auto"/>
        </w:rPr>
        <w:t xml:space="preserve">s, first of all, </w:t>
      </w:r>
      <w:r w:rsidRPr="003E193C">
        <w:rPr>
          <w:rFonts w:ascii="Calibri" w:eastAsia="맑은 고딕" w:hAnsi="Calibri" w:cs="Calibri"/>
          <w:i/>
          <w:iCs/>
          <w:color w:val="auto"/>
        </w:rPr>
        <w:t>postponement</w:t>
      </w:r>
      <w:r w:rsidRPr="003E193C">
        <w:rPr>
          <w:rFonts w:ascii="Calibri" w:eastAsia="맑은 고딕" w:hAnsi="Calibri" w:cs="Calibri"/>
          <w:color w:val="auto"/>
        </w:rPr>
        <w:t xml:space="preserve"> of fertility: ages 15-19, 20-24 and 25-29 are no longer ages when many people choose to have children.</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 xml:space="preserve">This part of the lifespan is taken by other activities which are conceived as incompatible with starting a family: acquiring education, joining the </w:t>
      </w:r>
      <w:proofErr w:type="spellStart"/>
      <w:r w:rsidRPr="003E193C">
        <w:rPr>
          <w:rFonts w:ascii="Calibri" w:eastAsia="맑은 고딕" w:hAnsi="Calibri" w:cs="Calibri"/>
          <w:color w:val="auto"/>
        </w:rPr>
        <w:t>labour</w:t>
      </w:r>
      <w:proofErr w:type="spellEnd"/>
      <w:r w:rsidRPr="003E193C">
        <w:rPr>
          <w:rFonts w:ascii="Calibri" w:eastAsia="맑은 고딕" w:hAnsi="Calibri" w:cs="Calibri"/>
          <w:color w:val="auto"/>
        </w:rPr>
        <w:t xml:space="preserve"> force, </w:t>
      </w:r>
      <w:r w:rsidRPr="003E193C">
        <w:rPr>
          <w:rFonts w:ascii="Calibri" w:eastAsia="맑은 고딕" w:hAnsi="Calibri" w:cs="Calibri" w:hint="eastAsia"/>
          <w:color w:val="auto"/>
        </w:rPr>
        <w:t xml:space="preserve">exploring the world, </w:t>
      </w:r>
      <w:r w:rsidRPr="003E193C">
        <w:rPr>
          <w:rFonts w:ascii="Calibri" w:eastAsia="맑은 고딕" w:hAnsi="Calibri" w:cs="Calibri"/>
          <w:color w:val="auto"/>
        </w:rPr>
        <w:t xml:space="preserve">and building of a career. These life choices are part of the ‘bigger parcel’ of a modern, diverse and dynamic economy, they do not stand on their own. There are other demographic indicators of postponement of childbearing, but also of marriage, to later stages in life. Mean age at marriage in South Korea increased for females from 25 years in 1990s to 30 years in 2015 </w:t>
      </w:r>
      <w:r w:rsidRPr="003E193C">
        <w:rPr>
          <w:rFonts w:ascii="Calibri" w:eastAsia="맑은 고딕" w:hAnsi="Calibri" w:cs="Calibri" w:hint="eastAsia"/>
          <w:color w:val="auto"/>
        </w:rPr>
        <w:t xml:space="preserve">as shown in </w:t>
      </w:r>
      <w:r w:rsidRPr="003E193C">
        <w:rPr>
          <w:rFonts w:ascii="Calibri" w:eastAsia="맑은 고딕" w:hAnsi="Calibri" w:cs="Calibri"/>
          <w:color w:val="auto"/>
        </w:rPr>
        <w:t>Fig.6.</w:t>
      </w:r>
      <w:r w:rsidRPr="003E193C">
        <w:rPr>
          <w:rFonts w:ascii="Calibri" w:eastAsia="맑은 고딕" w:hAnsi="Calibri" w:cs="Calibri" w:hint="eastAsia"/>
          <w:color w:val="auto"/>
        </w:rPr>
        <w:t xml:space="preserve"> </w:t>
      </w:r>
    </w:p>
    <w:p w14:paraId="5C8EB5C8" w14:textId="77777777" w:rsidR="003E193C" w:rsidRPr="003E193C" w:rsidRDefault="003E193C" w:rsidP="003E193C">
      <w:pPr>
        <w:widowControl w:val="0"/>
        <w:wordWrap w:val="0"/>
        <w:autoSpaceDE w:val="0"/>
        <w:autoSpaceDN w:val="0"/>
        <w:spacing w:after="200"/>
        <w:rPr>
          <w:rFonts w:ascii="Calibri" w:eastAsia="맑은 고딕" w:hAnsi="Calibri" w:cs="Calibri"/>
          <w:color w:val="auto"/>
          <w:kern w:val="2"/>
        </w:rPr>
      </w:pPr>
      <w:r w:rsidRPr="003E193C">
        <w:rPr>
          <w:rFonts w:ascii="Calibri" w:eastAsia="맑은 고딕" w:hAnsi="Calibri" w:cs="Calibri"/>
          <w:b/>
          <w:bCs/>
          <w:color w:val="auto"/>
        </w:rPr>
        <w:t xml:space="preserve">Figure </w:t>
      </w:r>
      <w:r w:rsidRPr="003E193C">
        <w:rPr>
          <w:rFonts w:ascii="Calibri" w:eastAsia="맑은 고딕" w:hAnsi="Calibri" w:cs="Calibri" w:hint="eastAsia"/>
          <w:b/>
          <w:bCs/>
          <w:color w:val="auto"/>
        </w:rPr>
        <w:t>6</w:t>
      </w:r>
      <w:r w:rsidRPr="003E193C">
        <w:rPr>
          <w:rFonts w:ascii="Calibri" w:eastAsia="맑은 고딕" w:hAnsi="Calibri" w:cs="Calibri"/>
          <w:b/>
          <w:bCs/>
          <w:color w:val="auto"/>
        </w:rPr>
        <w:t xml:space="preserve">: </w:t>
      </w:r>
      <w:r w:rsidRPr="003E193C">
        <w:rPr>
          <w:rFonts w:ascii="Calibri" w:eastAsia="맑은 고딕" w:hAnsi="Calibri" w:cs="Calibri" w:hint="eastAsia"/>
          <w:b/>
          <w:bCs/>
          <w:color w:val="auto"/>
        </w:rPr>
        <w:t>Mean Age at First Marriage</w:t>
      </w:r>
    </w:p>
    <w:p w14:paraId="69E0AA7F" w14:textId="40DE1AD8" w:rsidR="003E193C" w:rsidRPr="003E193C" w:rsidRDefault="005E1AEE" w:rsidP="003E193C">
      <w:pPr>
        <w:widowControl w:val="0"/>
        <w:autoSpaceDE w:val="0"/>
        <w:autoSpaceDN w:val="0"/>
        <w:adjustRightInd w:val="0"/>
        <w:spacing w:after="200"/>
        <w:jc w:val="center"/>
        <w:rPr>
          <w:rFonts w:ascii="Calibri" w:eastAsia="맑은 고딕" w:hAnsi="Calibri" w:cs="Calibri"/>
          <w:color w:val="auto"/>
        </w:rPr>
      </w:pPr>
      <w:r>
        <w:rPr>
          <w:rFonts w:ascii="Calibri" w:eastAsia="맑은 고딕" w:hAnsi="Calibri" w:cs="Calibri"/>
          <w:noProof/>
          <w:color w:val="auto"/>
        </w:rPr>
        <w:drawing>
          <wp:inline distT="0" distB="0" distL="0" distR="0" wp14:anchorId="0A956325" wp14:editId="7B0044CF">
            <wp:extent cx="4667250" cy="2610360"/>
            <wp:effectExtent l="19050" t="19050" r="19050" b="190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9481" cy="2611608"/>
                    </a:xfrm>
                    <a:prstGeom prst="rect">
                      <a:avLst/>
                    </a:prstGeom>
                    <a:noFill/>
                    <a:ln>
                      <a:solidFill>
                        <a:schemeClr val="tx1"/>
                      </a:solidFill>
                    </a:ln>
                  </pic:spPr>
                </pic:pic>
              </a:graphicData>
            </a:graphic>
          </wp:inline>
        </w:drawing>
      </w:r>
    </w:p>
    <w:p w14:paraId="6AF9B91A" w14:textId="77777777" w:rsidR="003E193C" w:rsidRDefault="003E193C" w:rsidP="003E193C">
      <w:pPr>
        <w:widowControl w:val="0"/>
        <w:wordWrap w:val="0"/>
        <w:autoSpaceDE w:val="0"/>
        <w:autoSpaceDN w:val="0"/>
        <w:spacing w:after="200"/>
        <w:jc w:val="both"/>
        <w:rPr>
          <w:rFonts w:ascii="Calibri" w:eastAsia="맑은 고딕" w:hAnsi="Calibri" w:cs="Calibri"/>
          <w:color w:val="auto"/>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093F1B07" w14:textId="57D0B192" w:rsidR="003E193C" w:rsidRPr="00A06031" w:rsidRDefault="00A06031" w:rsidP="003E193C">
      <w:pPr>
        <w:widowControl w:val="0"/>
        <w:autoSpaceDE w:val="0"/>
        <w:autoSpaceDN w:val="0"/>
        <w:adjustRightInd w:val="0"/>
        <w:spacing w:after="200"/>
        <w:jc w:val="both"/>
        <w:rPr>
          <w:rFonts w:ascii="Calibri" w:eastAsia="맑은 고딕" w:hAnsi="Calibri" w:cs="Calibri"/>
        </w:rPr>
      </w:pPr>
      <w:r w:rsidRPr="003E193C">
        <w:rPr>
          <w:rFonts w:ascii="Calibri" w:eastAsia="맑은 고딕" w:hAnsi="Calibri" w:cs="Calibri" w:hint="eastAsia"/>
          <w:color w:val="auto"/>
        </w:rPr>
        <w:lastRenderedPageBreak/>
        <w:t>It is noted that this increasing trend over the years has persisted during economically good times as well as bad times.</w:t>
      </w:r>
      <w:r w:rsidRPr="003E193C">
        <w:rPr>
          <w:rFonts w:ascii="Calibri" w:eastAsia="맑은 고딕" w:hAnsi="Calibri" w:cs="Calibri"/>
          <w:color w:val="auto"/>
          <w:vertAlign w:val="superscript"/>
        </w:rPr>
        <w:footnoteReference w:id="8"/>
      </w:r>
      <w:r>
        <w:rPr>
          <w:rFonts w:ascii="Calibri" w:eastAsia="맑은 고딕" w:hAnsi="Calibri" w:cs="Calibri" w:hint="eastAsia"/>
        </w:rPr>
        <w:t xml:space="preserve"> </w:t>
      </w:r>
      <w:r w:rsidR="003E193C" w:rsidRPr="003E193C">
        <w:rPr>
          <w:rFonts w:ascii="Calibri" w:eastAsia="맑은 고딕" w:hAnsi="Calibri" w:cs="Calibri"/>
          <w:color w:val="auto"/>
        </w:rPr>
        <w:t>New social and economic realities-responsible for both postponement of marriage and childbearing -cannot be ‘switched off’, and, indeed, it is difficult to see how this</w:t>
      </w:r>
      <w:r w:rsidR="003E193C" w:rsidRPr="003E193C">
        <w:rPr>
          <w:rFonts w:ascii="Calibri" w:eastAsia="맑은 고딕" w:hAnsi="Calibri" w:cs="Calibri" w:hint="eastAsia"/>
          <w:color w:val="auto"/>
        </w:rPr>
        <w:t xml:space="preserve"> can </w:t>
      </w:r>
      <w:r w:rsidR="003E193C" w:rsidRPr="003E193C">
        <w:rPr>
          <w:rFonts w:ascii="Calibri" w:eastAsia="맑은 고딕" w:hAnsi="Calibri" w:cs="Calibri"/>
          <w:color w:val="auto"/>
        </w:rPr>
        <w:t xml:space="preserve">be a reasonable goal for the government or the society as a whole. </w:t>
      </w:r>
      <w:proofErr w:type="gramStart"/>
      <w:r w:rsidR="003E193C" w:rsidRPr="003E193C">
        <w:rPr>
          <w:rFonts w:ascii="Calibri" w:eastAsia="맑은 고딕" w:hAnsi="Calibri" w:cs="Calibri"/>
          <w:color w:val="auto"/>
        </w:rPr>
        <w:t>Rising</w:t>
      </w:r>
      <w:proofErr w:type="gramEnd"/>
      <w:r w:rsidR="003E193C" w:rsidRPr="003E193C">
        <w:rPr>
          <w:rFonts w:ascii="Calibri" w:eastAsia="맑은 고딕" w:hAnsi="Calibri" w:cs="Calibri"/>
          <w:color w:val="auto"/>
        </w:rPr>
        <w:t xml:space="preserve"> </w:t>
      </w:r>
      <w:r w:rsidR="003E193C" w:rsidRPr="003E193C">
        <w:rPr>
          <w:rFonts w:ascii="Calibri" w:eastAsia="맑은 고딕" w:hAnsi="Calibri" w:cs="Calibri" w:hint="eastAsia"/>
          <w:color w:val="auto"/>
        </w:rPr>
        <w:t xml:space="preserve">of </w:t>
      </w:r>
      <w:r w:rsidR="003E193C" w:rsidRPr="003E193C">
        <w:rPr>
          <w:rFonts w:ascii="Calibri" w:eastAsia="맑은 고딕" w:hAnsi="Calibri" w:cs="Calibri"/>
          <w:color w:val="auto"/>
        </w:rPr>
        <w:t>fertility maybe a desirable goal but it cannot be achieved through regressive movement in other areas of life.</w:t>
      </w:r>
    </w:p>
    <w:p w14:paraId="54FC8354" w14:textId="77777777" w:rsidR="003E193C" w:rsidRPr="00ED2D3C" w:rsidRDefault="003E193C" w:rsidP="003E193C">
      <w:pPr>
        <w:widowControl w:val="0"/>
        <w:autoSpaceDE w:val="0"/>
        <w:autoSpaceDN w:val="0"/>
        <w:adjustRightInd w:val="0"/>
        <w:spacing w:after="200"/>
        <w:jc w:val="both"/>
        <w:rPr>
          <w:rFonts w:ascii="Calibri" w:eastAsia="맑은 고딕" w:hAnsi="Calibri" w:cs="Calibri"/>
          <w:b/>
          <w:i/>
          <w:color w:val="auto"/>
        </w:rPr>
      </w:pPr>
      <w:r w:rsidRPr="00ED2D3C">
        <w:rPr>
          <w:rFonts w:ascii="Calibri" w:eastAsia="맑은 고딕" w:hAnsi="Calibri" w:cs="Calibri"/>
          <w:b/>
          <w:i/>
          <w:color w:val="auto"/>
        </w:rPr>
        <w:t>What should be done, then?</w:t>
      </w:r>
    </w:p>
    <w:p w14:paraId="764718A9" w14:textId="3E99DF13" w:rsidR="003E193C" w:rsidRPr="003E193C" w:rsidRDefault="003E193C" w:rsidP="003E193C">
      <w:pPr>
        <w:widowControl w:val="0"/>
        <w:autoSpaceDE w:val="0"/>
        <w:autoSpaceDN w:val="0"/>
        <w:adjustRightInd w:val="0"/>
        <w:spacing w:after="200"/>
        <w:jc w:val="both"/>
        <w:rPr>
          <w:rFonts w:ascii="Calibri" w:eastAsia="맑은 고딕" w:hAnsi="Calibri" w:cs="Calibri"/>
          <w:color w:val="auto"/>
        </w:rPr>
      </w:pPr>
      <w:r w:rsidRPr="003E193C">
        <w:rPr>
          <w:rFonts w:ascii="Calibri" w:eastAsia="맑은 고딕" w:hAnsi="Calibri" w:cs="Calibri"/>
          <w:color w:val="auto"/>
        </w:rPr>
        <w:t>The first step is a realization that people still desire children. How can one be confident that this is the case? Consider the extent of ‘catching up’ with fertility, i.e. the degree to which women of earlier generations resemble the women of younger generation when it comes to the final number of children they have at the very end of their childbearing lives</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i.e. around age 49 years</w:t>
      </w:r>
      <w:r w:rsidRPr="003E193C">
        <w:rPr>
          <w:rFonts w:ascii="Calibri" w:eastAsia="맑은 고딕" w:hAnsi="Calibri" w:cs="Calibri" w:hint="eastAsia"/>
          <w:color w:val="auto"/>
        </w:rPr>
        <w:t>)</w:t>
      </w:r>
      <w:r w:rsidRPr="003E193C">
        <w:rPr>
          <w:rFonts w:ascii="Calibri" w:eastAsia="맑은 고딕" w:hAnsi="Calibri" w:cs="Calibri"/>
          <w:color w:val="auto"/>
        </w:rPr>
        <w:t>. The index describing this final number of children is called completed cohort fertility. On the basis of the available data we estimated completed cohort fertility</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of South Korean women born in the 1960s and the</w:t>
      </w:r>
      <w:r w:rsidR="002D6C3D">
        <w:rPr>
          <w:rFonts w:ascii="Calibri" w:eastAsia="맑은 고딕" w:hAnsi="Calibri" w:cs="Calibri"/>
          <w:color w:val="auto"/>
        </w:rPr>
        <w:t xml:space="preserve"> early 1970s. In Table </w:t>
      </w:r>
      <w:r w:rsidR="002D6C3D">
        <w:rPr>
          <w:rFonts w:ascii="Calibri" w:eastAsia="맑은 고딕" w:hAnsi="Calibri" w:cs="Calibri" w:hint="eastAsia"/>
          <w:color w:val="auto"/>
        </w:rPr>
        <w:t>2</w:t>
      </w:r>
      <w:r w:rsidRPr="003E193C">
        <w:rPr>
          <w:rFonts w:ascii="Calibri" w:eastAsia="맑은 고딕" w:hAnsi="Calibri" w:cs="Calibri"/>
          <w:color w:val="auto"/>
        </w:rPr>
        <w:t xml:space="preserve"> South Korea is set in comparison to selected European countries. </w:t>
      </w:r>
    </w:p>
    <w:p w14:paraId="208A01DC" w14:textId="77777777" w:rsidR="003E193C" w:rsidRPr="003E193C" w:rsidRDefault="003E193C" w:rsidP="003E193C">
      <w:pPr>
        <w:widowControl w:val="0"/>
        <w:autoSpaceDE w:val="0"/>
        <w:autoSpaceDN w:val="0"/>
        <w:adjustRightInd w:val="0"/>
        <w:spacing w:after="200"/>
        <w:jc w:val="both"/>
        <w:rPr>
          <w:rFonts w:ascii="Calibri" w:eastAsia="맑은 고딕" w:hAnsi="Calibri" w:cs="Calibri"/>
          <w:color w:val="auto"/>
        </w:rPr>
      </w:pPr>
      <w:proofErr w:type="gramStart"/>
      <w:r w:rsidRPr="003E193C">
        <w:rPr>
          <w:rFonts w:ascii="Calibri" w:eastAsia="맑은 고딕" w:hAnsi="Calibri" w:cs="Calibri"/>
          <w:color w:val="auto"/>
        </w:rPr>
        <w:t>The final number of children that an average woman of a given generation would have declined only slightly between women born in the late 1960s and those born in the early 1970s.</w:t>
      </w:r>
      <w:proofErr w:type="gramEnd"/>
      <w:r w:rsidRPr="003E193C">
        <w:rPr>
          <w:rFonts w:ascii="Calibri" w:eastAsia="맑은 고딕" w:hAnsi="Calibri" w:cs="Calibri"/>
          <w:color w:val="auto"/>
        </w:rPr>
        <w:t xml:space="preserve"> Completed cohort fertility of women in the latter group (1.68 children per woman) was 1</w:t>
      </w:r>
      <w:r w:rsidRPr="003E193C">
        <w:rPr>
          <w:rFonts w:ascii="Calibri" w:eastAsia="맑은 고딕" w:hAnsi="Calibri" w:cs="Calibri" w:hint="eastAsia"/>
          <w:color w:val="auto"/>
        </w:rPr>
        <w:t>0.2</w:t>
      </w:r>
      <w:r w:rsidRPr="003E193C">
        <w:rPr>
          <w:rFonts w:ascii="Calibri" w:eastAsia="맑은 고딕" w:hAnsi="Calibri" w:cs="Calibri"/>
          <w:color w:val="auto"/>
        </w:rPr>
        <w:t>% lower than fertility of women in the former group (1.87 children per woman). So, 8</w:t>
      </w:r>
      <w:r w:rsidRPr="003E193C">
        <w:rPr>
          <w:rFonts w:ascii="Calibri" w:eastAsia="맑은 고딕" w:hAnsi="Calibri" w:cs="Calibri" w:hint="eastAsia"/>
          <w:color w:val="auto"/>
        </w:rPr>
        <w:t>9.8</w:t>
      </w:r>
      <w:r w:rsidRPr="003E193C">
        <w:rPr>
          <w:rFonts w:ascii="Calibri" w:eastAsia="맑은 고딕" w:hAnsi="Calibri" w:cs="Calibri"/>
          <w:color w:val="auto"/>
        </w:rPr>
        <w:t>% of fertility of the earlier cohort was recovered in the later cohort. This is somewhat less than, for example, in Austria, Belgium, Germany, Sweden and the UK but more than in Spain.</w:t>
      </w:r>
    </w:p>
    <w:p w14:paraId="69760F24" w14:textId="7CD6258A" w:rsidR="003E193C" w:rsidRPr="003E193C" w:rsidRDefault="002D6C3D" w:rsidP="003E193C">
      <w:pPr>
        <w:widowControl w:val="0"/>
        <w:autoSpaceDE w:val="0"/>
        <w:autoSpaceDN w:val="0"/>
        <w:adjustRightInd w:val="0"/>
        <w:spacing w:after="200"/>
        <w:rPr>
          <w:rFonts w:ascii="Calibri" w:eastAsia="맑은 고딕" w:hAnsi="Calibri" w:cs="Calibri"/>
          <w:b/>
          <w:bCs/>
          <w:color w:val="auto"/>
        </w:rPr>
      </w:pPr>
      <w:r>
        <w:rPr>
          <w:rFonts w:ascii="Calibri" w:eastAsia="맑은 고딕" w:hAnsi="Calibri" w:cs="Calibri"/>
          <w:b/>
          <w:bCs/>
          <w:color w:val="auto"/>
        </w:rPr>
        <w:t xml:space="preserve">Table </w:t>
      </w:r>
      <w:r>
        <w:rPr>
          <w:rFonts w:ascii="Calibri" w:eastAsia="맑은 고딕" w:hAnsi="Calibri" w:cs="Calibri" w:hint="eastAsia"/>
          <w:b/>
          <w:bCs/>
          <w:color w:val="auto"/>
        </w:rPr>
        <w:t>2:</w:t>
      </w:r>
      <w:r w:rsidR="003E193C" w:rsidRPr="003E193C">
        <w:rPr>
          <w:rFonts w:ascii="Calibri" w:eastAsia="맑은 고딕" w:hAnsi="Calibri" w:cs="Calibri"/>
          <w:b/>
          <w:bCs/>
          <w:color w:val="auto"/>
        </w:rPr>
        <w:t xml:space="preserve"> Completed cohort fertility in South Korea and selected European comparators</w:t>
      </w:r>
    </w:p>
    <w:tbl>
      <w:tblPr>
        <w:tblStyle w:val="10"/>
        <w:tblW w:w="0" w:type="auto"/>
        <w:jc w:val="center"/>
        <w:tblLook w:val="04A0" w:firstRow="1" w:lastRow="0" w:firstColumn="1" w:lastColumn="0" w:noHBand="0" w:noVBand="1"/>
      </w:tblPr>
      <w:tblGrid>
        <w:gridCol w:w="1456"/>
        <w:gridCol w:w="1848"/>
        <w:gridCol w:w="1848"/>
        <w:gridCol w:w="1849"/>
        <w:gridCol w:w="1849"/>
      </w:tblGrid>
      <w:tr w:rsidR="003E193C" w:rsidRPr="003E193C" w14:paraId="5B60CB0D" w14:textId="77777777" w:rsidTr="00875EAF">
        <w:trPr>
          <w:jc w:val="center"/>
        </w:trPr>
        <w:tc>
          <w:tcPr>
            <w:tcW w:w="1456" w:type="dxa"/>
          </w:tcPr>
          <w:p w14:paraId="712FB716"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5545" w:type="dxa"/>
            <w:gridSpan w:val="3"/>
            <w:tcBorders>
              <w:bottom w:val="single" w:sz="4" w:space="0" w:color="auto"/>
            </w:tcBorders>
            <w:shd w:val="clear" w:color="auto" w:fill="CCECFF"/>
          </w:tcPr>
          <w:p w14:paraId="4E8FAD1E"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Birth cohort</w:t>
            </w:r>
          </w:p>
        </w:tc>
        <w:tc>
          <w:tcPr>
            <w:tcW w:w="1849" w:type="dxa"/>
            <w:tcBorders>
              <w:bottom w:val="single" w:sz="4" w:space="0" w:color="auto"/>
            </w:tcBorders>
          </w:tcPr>
          <w:p w14:paraId="78F147EA"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r>
      <w:tr w:rsidR="003E193C" w:rsidRPr="003E193C" w14:paraId="5FDEB0E6" w14:textId="77777777" w:rsidTr="00875EAF">
        <w:trPr>
          <w:jc w:val="center"/>
        </w:trPr>
        <w:tc>
          <w:tcPr>
            <w:tcW w:w="1456" w:type="dxa"/>
            <w:tcBorders>
              <w:bottom w:val="single" w:sz="4" w:space="0" w:color="auto"/>
            </w:tcBorders>
            <w:shd w:val="clear" w:color="auto" w:fill="CCECFF"/>
            <w:vAlign w:val="center"/>
          </w:tcPr>
          <w:p w14:paraId="2B5A930E"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Country</w:t>
            </w:r>
          </w:p>
        </w:tc>
        <w:tc>
          <w:tcPr>
            <w:tcW w:w="1848" w:type="dxa"/>
            <w:shd w:val="clear" w:color="auto" w:fill="FFFFCC"/>
          </w:tcPr>
          <w:p w14:paraId="4CC8580D"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Women born in the early 1960s</w:t>
            </w:r>
          </w:p>
          <w:p w14:paraId="3CE6CE01"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w:t>
            </w:r>
          </w:p>
        </w:tc>
        <w:tc>
          <w:tcPr>
            <w:tcW w:w="1848" w:type="dxa"/>
            <w:shd w:val="clear" w:color="auto" w:fill="FFFFCC"/>
          </w:tcPr>
          <w:p w14:paraId="7D79C9B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Women born in the late 1960s</w:t>
            </w:r>
          </w:p>
          <w:p w14:paraId="443B5029"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(2)</w:t>
            </w:r>
          </w:p>
        </w:tc>
        <w:tc>
          <w:tcPr>
            <w:tcW w:w="1849" w:type="dxa"/>
            <w:shd w:val="clear" w:color="auto" w:fill="FFFFCC"/>
          </w:tcPr>
          <w:p w14:paraId="327F0C0A"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Women born in the early 1970s</w:t>
            </w:r>
          </w:p>
          <w:p w14:paraId="4EFD98A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(3)</w:t>
            </w:r>
          </w:p>
        </w:tc>
        <w:tc>
          <w:tcPr>
            <w:tcW w:w="1849" w:type="dxa"/>
            <w:shd w:val="clear" w:color="auto" w:fill="FFFFCC"/>
          </w:tcPr>
          <w:p w14:paraId="71D5066B"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Change between</w:t>
            </w:r>
          </w:p>
          <w:p w14:paraId="14641DFA"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(2) and (3)</w:t>
            </w:r>
          </w:p>
        </w:tc>
      </w:tr>
      <w:tr w:rsidR="003E193C" w:rsidRPr="003E193C" w14:paraId="3FB6FFD2" w14:textId="77777777" w:rsidTr="003E193C">
        <w:trPr>
          <w:jc w:val="center"/>
        </w:trPr>
        <w:tc>
          <w:tcPr>
            <w:tcW w:w="1456" w:type="dxa"/>
            <w:shd w:val="clear" w:color="auto" w:fill="FBD4B4"/>
          </w:tcPr>
          <w:p w14:paraId="7D35406B"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South Korea</w:t>
            </w:r>
          </w:p>
        </w:tc>
        <w:tc>
          <w:tcPr>
            <w:tcW w:w="1848" w:type="dxa"/>
            <w:tcBorders>
              <w:bottom w:val="single" w:sz="4" w:space="0" w:color="auto"/>
            </w:tcBorders>
          </w:tcPr>
          <w:p w14:paraId="7EF5330A"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1.95</w:t>
            </w:r>
          </w:p>
        </w:tc>
        <w:tc>
          <w:tcPr>
            <w:tcW w:w="1848" w:type="dxa"/>
          </w:tcPr>
          <w:p w14:paraId="1FB415AC"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1.87</w:t>
            </w:r>
          </w:p>
        </w:tc>
        <w:tc>
          <w:tcPr>
            <w:tcW w:w="1849" w:type="dxa"/>
          </w:tcPr>
          <w:p w14:paraId="5AB037E2"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1.68</w:t>
            </w:r>
          </w:p>
        </w:tc>
        <w:tc>
          <w:tcPr>
            <w:tcW w:w="1849" w:type="dxa"/>
          </w:tcPr>
          <w:p w14:paraId="355CAF1F"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-0.2</w:t>
            </w:r>
          </w:p>
        </w:tc>
      </w:tr>
      <w:tr w:rsidR="003E193C" w:rsidRPr="003E193C" w14:paraId="7323C718" w14:textId="77777777" w:rsidTr="003E193C">
        <w:trPr>
          <w:jc w:val="center"/>
        </w:trPr>
        <w:tc>
          <w:tcPr>
            <w:tcW w:w="1456" w:type="dxa"/>
            <w:shd w:val="clear" w:color="auto" w:fill="FBD4B4"/>
          </w:tcPr>
          <w:p w14:paraId="6A80E0AC"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Austria</w:t>
            </w:r>
          </w:p>
        </w:tc>
        <w:tc>
          <w:tcPr>
            <w:tcW w:w="1848" w:type="dxa"/>
            <w:shd w:val="clear" w:color="auto" w:fill="7F7F7F"/>
          </w:tcPr>
          <w:p w14:paraId="6D3807F7"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199674A3"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1.67</w:t>
            </w:r>
          </w:p>
        </w:tc>
        <w:tc>
          <w:tcPr>
            <w:tcW w:w="1849" w:type="dxa"/>
          </w:tcPr>
          <w:p w14:paraId="3C0545E4"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1.57</w:t>
            </w:r>
          </w:p>
        </w:tc>
        <w:tc>
          <w:tcPr>
            <w:tcW w:w="1849" w:type="dxa"/>
          </w:tcPr>
          <w:p w14:paraId="315709E8"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-0.1</w:t>
            </w:r>
          </w:p>
        </w:tc>
      </w:tr>
      <w:tr w:rsidR="003E193C" w:rsidRPr="003E193C" w14:paraId="75AA8C60" w14:textId="77777777" w:rsidTr="003E193C">
        <w:trPr>
          <w:jc w:val="center"/>
        </w:trPr>
        <w:tc>
          <w:tcPr>
            <w:tcW w:w="1456" w:type="dxa"/>
            <w:shd w:val="clear" w:color="auto" w:fill="FBD4B4"/>
          </w:tcPr>
          <w:p w14:paraId="3E99DE4D"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Belgium</w:t>
            </w:r>
          </w:p>
        </w:tc>
        <w:tc>
          <w:tcPr>
            <w:tcW w:w="1848" w:type="dxa"/>
            <w:shd w:val="clear" w:color="auto" w:fill="7F7F7F"/>
          </w:tcPr>
          <w:p w14:paraId="2FF2101B"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7460B75E"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1.81</w:t>
            </w:r>
          </w:p>
        </w:tc>
        <w:tc>
          <w:tcPr>
            <w:tcW w:w="1849" w:type="dxa"/>
          </w:tcPr>
          <w:p w14:paraId="3D679001"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1.76</w:t>
            </w:r>
          </w:p>
        </w:tc>
        <w:tc>
          <w:tcPr>
            <w:tcW w:w="1849" w:type="dxa"/>
          </w:tcPr>
          <w:p w14:paraId="490C3DC5"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-0.05</w:t>
            </w:r>
          </w:p>
        </w:tc>
      </w:tr>
      <w:tr w:rsidR="003E193C" w:rsidRPr="003E193C" w14:paraId="784379F4" w14:textId="77777777" w:rsidTr="003E193C">
        <w:trPr>
          <w:jc w:val="center"/>
        </w:trPr>
        <w:tc>
          <w:tcPr>
            <w:tcW w:w="1456" w:type="dxa"/>
            <w:shd w:val="clear" w:color="auto" w:fill="FBD4B4"/>
          </w:tcPr>
          <w:p w14:paraId="2AD8289A"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Germany</w:t>
            </w:r>
          </w:p>
        </w:tc>
        <w:tc>
          <w:tcPr>
            <w:tcW w:w="1848" w:type="dxa"/>
            <w:shd w:val="clear" w:color="auto" w:fill="7F7F7F"/>
          </w:tcPr>
          <w:p w14:paraId="419A5ACF"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599AA03F"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1.57</w:t>
            </w:r>
          </w:p>
        </w:tc>
        <w:tc>
          <w:tcPr>
            <w:tcW w:w="1849" w:type="dxa"/>
          </w:tcPr>
          <w:p w14:paraId="1C02840E"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1.47</w:t>
            </w:r>
          </w:p>
        </w:tc>
        <w:tc>
          <w:tcPr>
            <w:tcW w:w="1849" w:type="dxa"/>
          </w:tcPr>
          <w:p w14:paraId="2790C788"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-0.1</w:t>
            </w:r>
          </w:p>
        </w:tc>
      </w:tr>
      <w:tr w:rsidR="003E193C" w:rsidRPr="003E193C" w14:paraId="6E32C9AC" w14:textId="77777777" w:rsidTr="003E193C">
        <w:trPr>
          <w:jc w:val="center"/>
        </w:trPr>
        <w:tc>
          <w:tcPr>
            <w:tcW w:w="1456" w:type="dxa"/>
            <w:shd w:val="clear" w:color="auto" w:fill="FBD4B4"/>
          </w:tcPr>
          <w:p w14:paraId="4FAA85C4"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Italy</w:t>
            </w:r>
          </w:p>
        </w:tc>
        <w:tc>
          <w:tcPr>
            <w:tcW w:w="1848" w:type="dxa"/>
            <w:shd w:val="clear" w:color="auto" w:fill="7F7F7F"/>
          </w:tcPr>
          <w:p w14:paraId="5BDAA16B"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6D6F7151"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1.69</w:t>
            </w:r>
          </w:p>
        </w:tc>
        <w:tc>
          <w:tcPr>
            <w:tcW w:w="1849" w:type="dxa"/>
          </w:tcPr>
          <w:p w14:paraId="675B1C65"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1.59</w:t>
            </w:r>
          </w:p>
        </w:tc>
        <w:tc>
          <w:tcPr>
            <w:tcW w:w="1849" w:type="dxa"/>
          </w:tcPr>
          <w:p w14:paraId="2D5D4528"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-0.1</w:t>
            </w:r>
          </w:p>
        </w:tc>
      </w:tr>
      <w:tr w:rsidR="003E193C" w:rsidRPr="003E193C" w14:paraId="661B588E" w14:textId="77777777" w:rsidTr="003E193C">
        <w:trPr>
          <w:trHeight w:val="70"/>
          <w:jc w:val="center"/>
        </w:trPr>
        <w:tc>
          <w:tcPr>
            <w:tcW w:w="1456" w:type="dxa"/>
            <w:shd w:val="clear" w:color="auto" w:fill="FBD4B4"/>
          </w:tcPr>
          <w:p w14:paraId="2D6FC9E4"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Netherlands</w:t>
            </w:r>
          </w:p>
        </w:tc>
        <w:tc>
          <w:tcPr>
            <w:tcW w:w="1848" w:type="dxa"/>
            <w:shd w:val="clear" w:color="auto" w:fill="7F7F7F"/>
          </w:tcPr>
          <w:p w14:paraId="34A0F3CA"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1DB55C8F"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1.87</w:t>
            </w:r>
          </w:p>
        </w:tc>
        <w:tc>
          <w:tcPr>
            <w:tcW w:w="1849" w:type="dxa"/>
          </w:tcPr>
          <w:p w14:paraId="51AC9B1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1.80</w:t>
            </w:r>
          </w:p>
        </w:tc>
        <w:tc>
          <w:tcPr>
            <w:tcW w:w="1849" w:type="dxa"/>
          </w:tcPr>
          <w:p w14:paraId="65C588BB"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-0.07</w:t>
            </w:r>
          </w:p>
        </w:tc>
      </w:tr>
      <w:tr w:rsidR="003E193C" w:rsidRPr="003E193C" w14:paraId="12D6ED0E" w14:textId="77777777" w:rsidTr="003E193C">
        <w:trPr>
          <w:trHeight w:val="70"/>
          <w:jc w:val="center"/>
        </w:trPr>
        <w:tc>
          <w:tcPr>
            <w:tcW w:w="1456" w:type="dxa"/>
            <w:shd w:val="clear" w:color="auto" w:fill="FBD4B4"/>
          </w:tcPr>
          <w:p w14:paraId="42212BA2"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Spain</w:t>
            </w:r>
          </w:p>
        </w:tc>
        <w:tc>
          <w:tcPr>
            <w:tcW w:w="1848" w:type="dxa"/>
            <w:shd w:val="clear" w:color="auto" w:fill="7F7F7F"/>
          </w:tcPr>
          <w:p w14:paraId="0D93BCD9"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77C07FE2"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1.75</w:t>
            </w:r>
          </w:p>
        </w:tc>
        <w:tc>
          <w:tcPr>
            <w:tcW w:w="1849" w:type="dxa"/>
          </w:tcPr>
          <w:p w14:paraId="2EF70401"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1.46</w:t>
            </w:r>
          </w:p>
        </w:tc>
        <w:tc>
          <w:tcPr>
            <w:tcW w:w="1849" w:type="dxa"/>
          </w:tcPr>
          <w:p w14:paraId="55615A6D"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-0.3</w:t>
            </w:r>
          </w:p>
        </w:tc>
      </w:tr>
      <w:tr w:rsidR="003E193C" w:rsidRPr="003E193C" w14:paraId="6D00CE03" w14:textId="77777777" w:rsidTr="003E193C">
        <w:trPr>
          <w:trHeight w:val="70"/>
          <w:jc w:val="center"/>
        </w:trPr>
        <w:tc>
          <w:tcPr>
            <w:tcW w:w="1456" w:type="dxa"/>
            <w:shd w:val="clear" w:color="auto" w:fill="FBD4B4"/>
          </w:tcPr>
          <w:p w14:paraId="5A50E35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Sweden</w:t>
            </w:r>
          </w:p>
        </w:tc>
        <w:tc>
          <w:tcPr>
            <w:tcW w:w="1848" w:type="dxa"/>
            <w:shd w:val="clear" w:color="auto" w:fill="7F7F7F"/>
          </w:tcPr>
          <w:p w14:paraId="6C2D5ADD"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2303B238"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1.90</w:t>
            </w:r>
          </w:p>
        </w:tc>
        <w:tc>
          <w:tcPr>
            <w:tcW w:w="1849" w:type="dxa"/>
          </w:tcPr>
          <w:p w14:paraId="5FD8D167"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1.90</w:t>
            </w:r>
          </w:p>
        </w:tc>
        <w:tc>
          <w:tcPr>
            <w:tcW w:w="1849" w:type="dxa"/>
          </w:tcPr>
          <w:p w14:paraId="1BE64C1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w:t>
            </w:r>
          </w:p>
        </w:tc>
      </w:tr>
      <w:tr w:rsidR="003E193C" w:rsidRPr="003E193C" w14:paraId="34628F72" w14:textId="77777777" w:rsidTr="003E193C">
        <w:trPr>
          <w:trHeight w:val="70"/>
          <w:jc w:val="center"/>
        </w:trPr>
        <w:tc>
          <w:tcPr>
            <w:tcW w:w="1456" w:type="dxa"/>
            <w:shd w:val="clear" w:color="auto" w:fill="FBD4B4"/>
          </w:tcPr>
          <w:p w14:paraId="52EC3EE0"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UK</w:t>
            </w:r>
          </w:p>
        </w:tc>
        <w:tc>
          <w:tcPr>
            <w:tcW w:w="1848" w:type="dxa"/>
            <w:shd w:val="clear" w:color="auto" w:fill="7F7F7F"/>
          </w:tcPr>
          <w:p w14:paraId="4C3505E5" w14:textId="77777777" w:rsidR="003E193C" w:rsidRPr="003E193C" w:rsidRDefault="003E193C" w:rsidP="003E193C">
            <w:pPr>
              <w:widowControl w:val="0"/>
              <w:autoSpaceDE w:val="0"/>
              <w:autoSpaceDN w:val="0"/>
              <w:adjustRightInd w:val="0"/>
              <w:jc w:val="center"/>
              <w:rPr>
                <w:rFonts w:ascii="Calibri" w:eastAsia="맑은 고딕" w:hAnsi="Calibri" w:cs="Calibri"/>
              </w:rPr>
            </w:pPr>
          </w:p>
        </w:tc>
        <w:tc>
          <w:tcPr>
            <w:tcW w:w="1848" w:type="dxa"/>
          </w:tcPr>
          <w:p w14:paraId="292FF8F6"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1.97</w:t>
            </w:r>
          </w:p>
        </w:tc>
        <w:tc>
          <w:tcPr>
            <w:tcW w:w="1849" w:type="dxa"/>
          </w:tcPr>
          <w:p w14:paraId="306EB5E2"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1.86</w:t>
            </w:r>
          </w:p>
        </w:tc>
        <w:tc>
          <w:tcPr>
            <w:tcW w:w="1849" w:type="dxa"/>
          </w:tcPr>
          <w:p w14:paraId="224461A4" w14:textId="77777777" w:rsidR="003E193C" w:rsidRPr="003E193C" w:rsidRDefault="003E193C" w:rsidP="003E193C">
            <w:pPr>
              <w:widowControl w:val="0"/>
              <w:autoSpaceDE w:val="0"/>
              <w:autoSpaceDN w:val="0"/>
              <w:adjustRightInd w:val="0"/>
              <w:jc w:val="center"/>
              <w:rPr>
                <w:rFonts w:ascii="Calibri" w:eastAsia="맑은 고딕" w:hAnsi="Calibri" w:cs="Calibri"/>
              </w:rPr>
            </w:pPr>
            <w:r w:rsidRPr="003E193C">
              <w:rPr>
                <w:rFonts w:ascii="Calibri" w:eastAsia="맑은 고딕" w:hAnsi="Calibri" w:cs="Calibri"/>
              </w:rPr>
              <w:t>-0.1</w:t>
            </w:r>
          </w:p>
        </w:tc>
      </w:tr>
    </w:tbl>
    <w:p w14:paraId="4425CB1A" w14:textId="77777777" w:rsidR="003E193C" w:rsidRPr="003E193C" w:rsidRDefault="003E193C" w:rsidP="003E193C">
      <w:pPr>
        <w:spacing w:line="240" w:lineRule="auto"/>
        <w:rPr>
          <w:rFonts w:ascii="Calibri" w:eastAsia="맑은 고딕" w:hAnsi="Calibri" w:cs="Calibri"/>
          <w:color w:val="auto"/>
          <w:lang w:eastAsia="en-US"/>
        </w:rPr>
      </w:pPr>
      <w:r w:rsidRPr="003E193C">
        <w:rPr>
          <w:rFonts w:ascii="Calibri" w:eastAsia="맑은 고딕" w:hAnsi="Calibri" w:cs="Calibri"/>
          <w:color w:val="auto"/>
          <w:lang w:eastAsia="en-US"/>
        </w:rPr>
        <w:t xml:space="preserve">Sources: South Korea: Korean Statistical Information Service. </w:t>
      </w:r>
      <w:r w:rsidRPr="003E193C">
        <w:rPr>
          <w:rFonts w:ascii="Calibri" w:eastAsia="맑은 고딕" w:hAnsi="Calibri" w:cs="Calibri" w:hint="eastAsia"/>
          <w:color w:val="auto"/>
        </w:rPr>
        <w:t xml:space="preserve">  </w:t>
      </w:r>
      <w:r w:rsidRPr="003E193C">
        <w:rPr>
          <w:rFonts w:ascii="Calibri" w:eastAsia="맑은 고딕" w:hAnsi="Calibri" w:cs="Calibri"/>
          <w:color w:val="auto"/>
          <w:lang w:eastAsia="en-US"/>
        </w:rPr>
        <w:t xml:space="preserve">All comparators: </w:t>
      </w:r>
      <w:proofErr w:type="spellStart"/>
      <w:r w:rsidRPr="003E193C">
        <w:rPr>
          <w:rFonts w:ascii="Calibri" w:eastAsia="맑은 고딕" w:hAnsi="Calibri" w:cs="Calibri"/>
          <w:color w:val="auto"/>
          <w:lang w:eastAsia="en-US"/>
        </w:rPr>
        <w:t>Hoorens</w:t>
      </w:r>
      <w:proofErr w:type="spellEnd"/>
      <w:r w:rsidRPr="003E193C">
        <w:rPr>
          <w:rFonts w:ascii="Calibri" w:eastAsia="맑은 고딕" w:hAnsi="Calibri" w:cs="Calibri"/>
          <w:color w:val="auto"/>
          <w:lang w:eastAsia="en-US"/>
        </w:rPr>
        <w:t xml:space="preserve">, S., Clift, J., </w:t>
      </w:r>
      <w:proofErr w:type="spellStart"/>
      <w:r w:rsidRPr="003E193C">
        <w:rPr>
          <w:rFonts w:ascii="Calibri" w:eastAsia="맑은 고딕" w:hAnsi="Calibri" w:cs="Calibri"/>
          <w:color w:val="auto"/>
          <w:lang w:eastAsia="en-US"/>
        </w:rPr>
        <w:t>Staetsky</w:t>
      </w:r>
      <w:proofErr w:type="spellEnd"/>
      <w:r w:rsidRPr="003E193C">
        <w:rPr>
          <w:rFonts w:ascii="Calibri" w:eastAsia="맑은 고딕" w:hAnsi="Calibri" w:cs="Calibri"/>
          <w:color w:val="auto"/>
          <w:lang w:eastAsia="en-US"/>
        </w:rPr>
        <w:t xml:space="preserve">. </w:t>
      </w:r>
      <w:proofErr w:type="gramStart"/>
      <w:r w:rsidRPr="003E193C">
        <w:rPr>
          <w:rFonts w:ascii="Calibri" w:eastAsia="맑은 고딕" w:hAnsi="Calibri" w:cs="Calibri"/>
          <w:color w:val="auto"/>
          <w:lang w:eastAsia="en-US"/>
        </w:rPr>
        <w:t xml:space="preserve">L., </w:t>
      </w:r>
      <w:proofErr w:type="spellStart"/>
      <w:r w:rsidRPr="003E193C">
        <w:rPr>
          <w:rFonts w:ascii="Calibri" w:eastAsia="맑은 고딕" w:hAnsi="Calibri" w:cs="Calibri"/>
          <w:color w:val="auto"/>
          <w:lang w:eastAsia="en-US"/>
        </w:rPr>
        <w:t>Janta</w:t>
      </w:r>
      <w:proofErr w:type="spellEnd"/>
      <w:r w:rsidRPr="003E193C">
        <w:rPr>
          <w:rFonts w:ascii="Calibri" w:eastAsia="맑은 고딕" w:hAnsi="Calibri" w:cs="Calibri"/>
          <w:color w:val="auto"/>
          <w:lang w:eastAsia="en-US"/>
        </w:rPr>
        <w:t xml:space="preserve">, B., </w:t>
      </w:r>
      <w:proofErr w:type="spellStart"/>
      <w:r w:rsidRPr="003E193C">
        <w:rPr>
          <w:rFonts w:ascii="Calibri" w:eastAsia="맑은 고딕" w:hAnsi="Calibri" w:cs="Calibri"/>
          <w:color w:val="auto"/>
          <w:lang w:eastAsia="en-US"/>
        </w:rPr>
        <w:t>Diepeveen</w:t>
      </w:r>
      <w:proofErr w:type="spellEnd"/>
      <w:r w:rsidRPr="003E193C">
        <w:rPr>
          <w:rFonts w:ascii="Calibri" w:eastAsia="맑은 고딕" w:hAnsi="Calibri" w:cs="Calibri"/>
          <w:color w:val="auto"/>
          <w:lang w:eastAsia="en-US"/>
        </w:rPr>
        <w:t>, S., Morgan Jones, M., and Grant.</w:t>
      </w:r>
      <w:proofErr w:type="gramEnd"/>
      <w:r w:rsidRPr="003E193C">
        <w:rPr>
          <w:rFonts w:ascii="Calibri" w:eastAsia="맑은 고딕" w:hAnsi="Calibri" w:cs="Calibri"/>
          <w:color w:val="auto"/>
          <w:lang w:eastAsia="en-US"/>
        </w:rPr>
        <w:t xml:space="preserve"> J. 2011. </w:t>
      </w:r>
      <w:proofErr w:type="gramStart"/>
      <w:r w:rsidRPr="003E193C">
        <w:rPr>
          <w:rFonts w:ascii="Calibri" w:eastAsia="맑은 고딕" w:hAnsi="Calibri" w:cs="Calibri"/>
          <w:color w:val="auto"/>
          <w:lang w:eastAsia="en-US"/>
        </w:rPr>
        <w:t>Low fertility in Europe.</w:t>
      </w:r>
      <w:proofErr w:type="gramEnd"/>
      <w:r w:rsidRPr="003E193C">
        <w:rPr>
          <w:rFonts w:ascii="Calibri" w:eastAsia="맑은 고딕" w:hAnsi="Calibri" w:cs="Calibri"/>
          <w:color w:val="auto"/>
          <w:lang w:eastAsia="en-US"/>
        </w:rPr>
        <w:t xml:space="preserve"> Is there still reason to worry? RAND Corporation MG-1080, p.9.</w:t>
      </w:r>
    </w:p>
    <w:p w14:paraId="78ED713E" w14:textId="77777777" w:rsidR="003E193C" w:rsidRPr="003E193C" w:rsidRDefault="003E193C" w:rsidP="003E193C">
      <w:pPr>
        <w:spacing w:line="240" w:lineRule="auto"/>
        <w:rPr>
          <w:rFonts w:ascii="Calibri" w:eastAsia="맑은 고딕" w:hAnsi="Calibri" w:cs="Calibri"/>
          <w:color w:val="auto"/>
        </w:rPr>
      </w:pPr>
      <w:r w:rsidRPr="003E193C">
        <w:rPr>
          <w:rFonts w:ascii="Calibri" w:eastAsia="맑은 고딕" w:hAnsi="Calibri" w:cs="Calibri"/>
          <w:color w:val="auto"/>
          <w:lang w:eastAsia="en-US"/>
        </w:rPr>
        <w:t xml:space="preserve">Note: </w:t>
      </w:r>
      <w:r w:rsidRPr="003E193C">
        <w:rPr>
          <w:rFonts w:ascii="Calibri" w:eastAsia="맑은 고딕" w:hAnsi="Calibri" w:cs="Calibri" w:hint="eastAsia"/>
          <w:color w:val="auto"/>
        </w:rPr>
        <w:t>T</w:t>
      </w:r>
      <w:r w:rsidRPr="003E193C">
        <w:rPr>
          <w:rFonts w:ascii="Calibri" w:eastAsia="맑은 고딕" w:hAnsi="Calibri" w:cs="Calibri"/>
          <w:color w:val="auto"/>
          <w:lang w:eastAsia="en-US"/>
        </w:rPr>
        <w:t>he calculation assumes that exposure to possibility of having children starts conventionally at 15 years and comes to an end at 49 years.</w:t>
      </w:r>
      <w:r w:rsidRPr="003E193C">
        <w:rPr>
          <w:rFonts w:ascii="Calibri" w:eastAsia="맑은 고딕" w:hAnsi="Calibri" w:cs="Calibri" w:hint="eastAsia"/>
          <w:color w:val="auto"/>
        </w:rPr>
        <w:br/>
      </w:r>
    </w:p>
    <w:p w14:paraId="481E5EB2" w14:textId="77777777" w:rsidR="003E193C" w:rsidRPr="003E193C" w:rsidRDefault="003E193C" w:rsidP="003E193C">
      <w:pPr>
        <w:widowControl w:val="0"/>
        <w:autoSpaceDE w:val="0"/>
        <w:autoSpaceDN w:val="0"/>
        <w:adjustRightInd w:val="0"/>
        <w:spacing w:after="200"/>
        <w:jc w:val="both"/>
        <w:rPr>
          <w:rFonts w:ascii="Calibri" w:eastAsia="맑은 고딕" w:hAnsi="Calibri" w:cs="Calibri"/>
          <w:color w:val="auto"/>
        </w:rPr>
      </w:pPr>
      <w:r w:rsidRPr="003E193C">
        <w:rPr>
          <w:rFonts w:ascii="Calibri" w:eastAsia="맑은 고딕" w:hAnsi="Calibri" w:cs="Calibri"/>
          <w:color w:val="auto"/>
        </w:rPr>
        <w:lastRenderedPageBreak/>
        <w:t>Thus, the younger cohort does not catch up completely with the older cohort. However, the levels of fertility of two cohorts of women are rather close, and both are significantly higher than currently observed period TFR levels (around 1.24 children per woman).</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 xml:space="preserve">‘Catching up’ is taking place, and, although it is partial, those women in the middle of their reproductive ‘careers’ today are not expected to end up with completed cohort fertility as low as 1.24. </w:t>
      </w:r>
    </w:p>
    <w:p w14:paraId="5023A037" w14:textId="77777777" w:rsidR="003E193C" w:rsidRPr="003E193C" w:rsidRDefault="003E193C" w:rsidP="003E193C">
      <w:pPr>
        <w:widowControl w:val="0"/>
        <w:autoSpaceDE w:val="0"/>
        <w:autoSpaceDN w:val="0"/>
        <w:adjustRightInd w:val="0"/>
        <w:spacing w:after="200"/>
        <w:jc w:val="both"/>
        <w:rPr>
          <w:rFonts w:ascii="Calibri" w:eastAsia="맑은 고딕" w:hAnsi="Calibri" w:cs="Calibri"/>
          <w:b/>
          <w:bCs/>
          <w:color w:val="auto"/>
        </w:rPr>
      </w:pPr>
      <w:r w:rsidRPr="003E193C">
        <w:rPr>
          <w:rFonts w:ascii="Calibri" w:eastAsia="맑은 고딕" w:hAnsi="Calibri" w:cs="Calibri"/>
          <w:color w:val="auto"/>
        </w:rPr>
        <w:t xml:space="preserve">So, ‘catching up’ is happening and people still </w:t>
      </w:r>
      <w:proofErr w:type="gramStart"/>
      <w:r w:rsidRPr="003E193C">
        <w:rPr>
          <w:rFonts w:ascii="Calibri" w:eastAsia="맑은 고딕" w:hAnsi="Calibri" w:cs="Calibri"/>
          <w:color w:val="auto"/>
        </w:rPr>
        <w:t>want</w:t>
      </w:r>
      <w:proofErr w:type="gramEnd"/>
      <w:r w:rsidRPr="003E193C">
        <w:rPr>
          <w:rFonts w:ascii="Calibri" w:eastAsia="맑은 고딕" w:hAnsi="Calibri" w:cs="Calibri"/>
          <w:color w:val="auto"/>
        </w:rPr>
        <w:t xml:space="preserve"> to have children. Only they </w:t>
      </w:r>
      <w:r w:rsidRPr="003E193C">
        <w:rPr>
          <w:rFonts w:ascii="Calibri" w:eastAsia="맑은 고딕" w:hAnsi="Calibri" w:cs="Calibri" w:hint="eastAsia"/>
          <w:color w:val="auto"/>
        </w:rPr>
        <w:t>would have</w:t>
      </w:r>
      <w:r w:rsidRPr="003E193C">
        <w:rPr>
          <w:rFonts w:ascii="Calibri" w:eastAsia="맑은 고딕" w:hAnsi="Calibri" w:cs="Calibri"/>
          <w:color w:val="auto"/>
        </w:rPr>
        <w:t xml:space="preserve"> them when it is more convenient under the contemporary conditions. That means: in their 30s and even early 40s. Judging by the experience of other countries around the globe</w:t>
      </w:r>
      <w:r w:rsidRPr="003E193C">
        <w:rPr>
          <w:rFonts w:ascii="Calibri" w:eastAsia="맑은 고딕" w:hAnsi="Calibri" w:cs="Calibri" w:hint="eastAsia"/>
          <w:color w:val="auto"/>
        </w:rPr>
        <w:t>,</w:t>
      </w:r>
      <w:r w:rsidRPr="003E193C">
        <w:rPr>
          <w:rFonts w:ascii="Calibri" w:eastAsia="맑은 고딕" w:hAnsi="Calibri" w:cs="Calibri"/>
          <w:color w:val="auto"/>
        </w:rPr>
        <w:t xml:space="preserve"> this development is inevitable. A well-targeted government </w:t>
      </w:r>
      <w:proofErr w:type="spellStart"/>
      <w:r w:rsidRPr="003E193C">
        <w:rPr>
          <w:rFonts w:ascii="Calibri" w:eastAsia="맑은 고딕" w:hAnsi="Calibri" w:cs="Calibri"/>
          <w:color w:val="auto"/>
        </w:rPr>
        <w:t>programme</w:t>
      </w:r>
      <w:proofErr w:type="spellEnd"/>
      <w:r w:rsidRPr="003E193C">
        <w:rPr>
          <w:rFonts w:ascii="Calibri" w:eastAsia="맑은 고딕" w:hAnsi="Calibri" w:cs="Calibri"/>
          <w:color w:val="auto"/>
        </w:rPr>
        <w:t xml:space="preserve"> will take into account the change in timing of fertility</w:t>
      </w:r>
      <w:r w:rsidRPr="003E193C">
        <w:rPr>
          <w:rFonts w:ascii="Calibri" w:eastAsia="맑은 고딕" w:hAnsi="Calibri" w:cs="Calibri" w:hint="eastAsia"/>
          <w:color w:val="auto"/>
        </w:rPr>
        <w:t>,</w:t>
      </w:r>
      <w:r w:rsidRPr="003E193C">
        <w:rPr>
          <w:rFonts w:ascii="Calibri" w:eastAsia="맑은 고딕" w:hAnsi="Calibri" w:cs="Calibri"/>
          <w:color w:val="auto"/>
        </w:rPr>
        <w:t xml:space="preserve"> and will be designed in such a way as to help people to carry out their original plans (late fertility) more comfortably. </w:t>
      </w:r>
    </w:p>
    <w:p w14:paraId="01C637C0"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t xml:space="preserve">Women and men in their 30s, mothers with careers constitute the natural target groups for government intervention in South Korea. Attitudes and priorities of these groups are well known. </w:t>
      </w:r>
      <w:r w:rsidRPr="003E193C">
        <w:rPr>
          <w:rFonts w:ascii="Calibri" w:eastAsia="맑은 고딕" w:hAnsi="Calibri" w:cs="Calibri" w:hint="eastAsia"/>
          <w:color w:val="auto"/>
        </w:rPr>
        <w:t xml:space="preserve">When asked about the most urgent issue to address in order to solve the problem of low births, both men and women chose resolving work-family conflict as </w:t>
      </w:r>
      <w:r w:rsidRPr="003E193C">
        <w:rPr>
          <w:rFonts w:ascii="Calibri" w:eastAsia="맑은 고딕" w:hAnsi="Calibri" w:cs="Calibri"/>
          <w:color w:val="auto"/>
        </w:rPr>
        <w:t>a</w:t>
      </w:r>
      <w:r w:rsidRPr="003E193C">
        <w:rPr>
          <w:rFonts w:ascii="Calibri" w:eastAsia="맑은 고딕" w:hAnsi="Calibri" w:cs="Calibri" w:hint="eastAsia"/>
          <w:color w:val="auto"/>
        </w:rPr>
        <w:t xml:space="preserve"> first priority followed by more generous financial support from the government</w:t>
      </w:r>
      <w:r w:rsidRPr="003E193C">
        <w:rPr>
          <w:rFonts w:ascii="Calibri" w:eastAsia="맑은 고딕" w:hAnsi="Calibri" w:cs="Calibri"/>
          <w:color w:val="auto"/>
        </w:rPr>
        <w:t xml:space="preserve"> (</w:t>
      </w:r>
      <w:r w:rsidRPr="003E193C">
        <w:rPr>
          <w:rFonts w:ascii="Calibri" w:eastAsia="맑은 고딕" w:hAnsi="Calibri" w:cs="Calibri" w:hint="eastAsia"/>
          <w:color w:val="auto"/>
        </w:rPr>
        <w:t xml:space="preserve">see </w:t>
      </w:r>
      <w:r w:rsidRPr="003E193C">
        <w:rPr>
          <w:rFonts w:ascii="Calibri" w:eastAsia="맑은 고딕" w:hAnsi="Calibri" w:cs="Calibri"/>
          <w:color w:val="auto"/>
        </w:rPr>
        <w:t>Fi</w:t>
      </w:r>
      <w:r w:rsidRPr="003E193C">
        <w:rPr>
          <w:rFonts w:ascii="Calibri" w:eastAsia="맑은 고딕" w:hAnsi="Calibri" w:cs="Calibri" w:hint="eastAsia"/>
          <w:color w:val="auto"/>
        </w:rPr>
        <w:t>g.</w:t>
      </w:r>
      <w:r w:rsidRPr="003E193C">
        <w:rPr>
          <w:rFonts w:ascii="Calibri" w:eastAsia="맑은 고딕" w:hAnsi="Calibri" w:cs="Calibri"/>
          <w:color w:val="auto"/>
        </w:rPr>
        <w:t xml:space="preserve"> 7)</w:t>
      </w:r>
      <w:r w:rsidRPr="003E193C">
        <w:rPr>
          <w:rFonts w:ascii="Calibri" w:eastAsia="맑은 고딕" w:hAnsi="Calibri" w:cs="Calibri" w:hint="eastAsia"/>
          <w:color w:val="auto"/>
        </w:rPr>
        <w:t>.</w:t>
      </w:r>
    </w:p>
    <w:p w14:paraId="2C556517"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w:drawing>
          <wp:anchor distT="0" distB="71755" distL="114300" distR="114300" simplePos="0" relativeHeight="251656192" behindDoc="0" locked="0" layoutInCell="1" allowOverlap="1" wp14:anchorId="7E15C3CC" wp14:editId="24056558">
            <wp:simplePos x="0" y="0"/>
            <wp:positionH relativeFrom="column">
              <wp:posOffset>0</wp:posOffset>
            </wp:positionH>
            <wp:positionV relativeFrom="paragraph">
              <wp:posOffset>342265</wp:posOffset>
            </wp:positionV>
            <wp:extent cx="5683885" cy="2634615"/>
            <wp:effectExtent l="0" t="0" r="12065" b="13335"/>
            <wp:wrapTopAndBottom/>
            <wp:docPr id="26" name="차트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E193C">
        <w:rPr>
          <w:rFonts w:ascii="Calibri" w:eastAsia="맑은 고딕" w:hAnsi="Calibri" w:cs="Calibri"/>
          <w:b/>
          <w:bCs/>
          <w:color w:val="auto"/>
        </w:rPr>
        <w:t>Figure 7:</w:t>
      </w:r>
      <w:r w:rsidRPr="003E193C">
        <w:rPr>
          <w:rFonts w:ascii="Calibri" w:eastAsia="맑은 고딕" w:hAnsi="Calibri" w:cs="Calibri" w:hint="eastAsia"/>
          <w:b/>
          <w:bCs/>
          <w:color w:val="auto"/>
        </w:rPr>
        <w:t xml:space="preserve"> </w:t>
      </w:r>
      <w:r w:rsidRPr="003E193C">
        <w:rPr>
          <w:rFonts w:ascii="Calibri" w:eastAsia="맑은 고딕" w:hAnsi="Calibri" w:cs="Calibri"/>
          <w:b/>
          <w:bCs/>
          <w:color w:val="auto"/>
        </w:rPr>
        <w:t>The most urgent issues to address in order to resolve the problem of low births</w:t>
      </w:r>
    </w:p>
    <w:p w14:paraId="631400DE"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b/>
          <w:bCs/>
          <w:i/>
          <w:iCs/>
          <w:color w:val="auto"/>
        </w:rPr>
      </w:pPr>
      <w:r w:rsidRPr="003E193C">
        <w:rPr>
          <w:rFonts w:ascii="Calibri" w:eastAsia="맑은 고딕" w:hAnsi="Calibri" w:cs="Calibri"/>
          <w:color w:val="auto"/>
        </w:rPr>
        <w:t xml:space="preserve">Source: </w:t>
      </w:r>
      <w:proofErr w:type="spellStart"/>
      <w:r w:rsidRPr="003E193C">
        <w:rPr>
          <w:rFonts w:ascii="Calibri" w:eastAsia="맑은 고딕" w:hAnsi="Calibri" w:cs="Calibri"/>
          <w:color w:val="auto"/>
        </w:rPr>
        <w:t>Asan</w:t>
      </w:r>
      <w:proofErr w:type="spellEnd"/>
      <w:r w:rsidRPr="003E193C">
        <w:rPr>
          <w:rFonts w:ascii="Calibri" w:eastAsia="맑은 고딕" w:hAnsi="Calibri" w:cs="Calibri"/>
          <w:color w:val="auto"/>
        </w:rPr>
        <w:t xml:space="preserve"> </w:t>
      </w:r>
      <w:r w:rsidRPr="003E193C">
        <w:rPr>
          <w:rFonts w:ascii="Calibri" w:eastAsia="맑은 고딕" w:hAnsi="Calibri" w:cs="Calibri" w:hint="eastAsia"/>
          <w:color w:val="auto"/>
        </w:rPr>
        <w:t>Fertility Survey</w:t>
      </w:r>
      <w:r w:rsidRPr="003E193C">
        <w:rPr>
          <w:rFonts w:ascii="Calibri" w:eastAsia="맑은 고딕" w:hAnsi="Calibri" w:cs="Calibri"/>
          <w:color w:val="auto"/>
        </w:rPr>
        <w:t>, Oct 2015</w:t>
      </w:r>
      <w:r w:rsidRPr="003E193C">
        <w:rPr>
          <w:rFonts w:ascii="Calibri" w:eastAsia="맑은 고딕" w:hAnsi="Calibri" w:cs="Calibri" w:hint="eastAsia"/>
          <w:color w:val="auto"/>
        </w:rPr>
        <w:t>.</w:t>
      </w:r>
    </w:p>
    <w:p w14:paraId="11722981"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t>When</w:t>
      </w:r>
      <w:r w:rsidRPr="003E193C">
        <w:rPr>
          <w:rFonts w:ascii="Calibri" w:eastAsia="맑은 고딕" w:hAnsi="Calibri" w:cs="Calibri" w:hint="eastAsia"/>
          <w:color w:val="auto"/>
        </w:rPr>
        <w:t xml:space="preserve"> asked about why women at work avoid having children, women</w:t>
      </w:r>
      <w:r w:rsidRPr="003E193C">
        <w:rPr>
          <w:rFonts w:ascii="Calibri" w:eastAsia="맑은 고딕" w:hAnsi="Calibri" w:cs="Calibri"/>
          <w:color w:val="auto"/>
        </w:rPr>
        <w:t xml:space="preserve"> aged 20-30 years</w:t>
      </w:r>
      <w:r w:rsidRPr="003E193C">
        <w:rPr>
          <w:rFonts w:ascii="Calibri" w:eastAsia="맑은 고딕" w:hAnsi="Calibri" w:cs="Calibri" w:hint="eastAsia"/>
          <w:color w:val="auto"/>
        </w:rPr>
        <w:t xml:space="preserve"> </w:t>
      </w:r>
      <w:r w:rsidRPr="003E193C">
        <w:rPr>
          <w:rFonts w:ascii="Calibri" w:eastAsia="맑은 고딕" w:hAnsi="Calibri" w:cs="Calibri"/>
          <w:color w:val="auto"/>
        </w:rPr>
        <w:t xml:space="preserve">list, </w:t>
      </w:r>
      <w:r w:rsidRPr="003E193C">
        <w:rPr>
          <w:rFonts w:ascii="Calibri" w:eastAsia="맑은 고딕" w:hAnsi="Calibri" w:cs="Calibri" w:hint="eastAsia"/>
          <w:color w:val="auto"/>
        </w:rPr>
        <w:t xml:space="preserve">in </w:t>
      </w:r>
      <w:r w:rsidRPr="003E193C">
        <w:rPr>
          <w:rFonts w:ascii="Calibri" w:eastAsia="맑은 고딕" w:hAnsi="Calibri" w:cs="Calibri"/>
          <w:color w:val="auto"/>
        </w:rPr>
        <w:t>descending order</w:t>
      </w:r>
      <w:r w:rsidRPr="003E193C">
        <w:rPr>
          <w:rFonts w:ascii="Calibri" w:eastAsia="맑은 고딕" w:hAnsi="Calibri" w:cs="Calibri" w:hint="eastAsia"/>
          <w:color w:val="auto"/>
        </w:rPr>
        <w:t xml:space="preserve">, fear of losing their jobs, the lack of childcare facilities and </w:t>
      </w:r>
      <w:r w:rsidRPr="003E193C">
        <w:rPr>
          <w:rFonts w:ascii="Calibri" w:eastAsia="맑은 고딕" w:hAnsi="Calibri" w:cs="Calibri"/>
          <w:color w:val="auto"/>
        </w:rPr>
        <w:t>guidelines on taking parental or maternity leave (</w:t>
      </w:r>
      <w:r w:rsidRPr="003E193C">
        <w:rPr>
          <w:rFonts w:ascii="Calibri" w:eastAsia="맑은 고딕" w:hAnsi="Calibri" w:cs="Calibri" w:hint="eastAsia"/>
          <w:color w:val="auto"/>
        </w:rPr>
        <w:t xml:space="preserve">see </w:t>
      </w:r>
      <w:r w:rsidRPr="003E193C">
        <w:rPr>
          <w:rFonts w:ascii="Calibri" w:eastAsia="맑은 고딕" w:hAnsi="Calibri" w:cs="Calibri"/>
          <w:color w:val="auto"/>
        </w:rPr>
        <w:t>Fig</w:t>
      </w:r>
      <w:r w:rsidRPr="003E193C">
        <w:rPr>
          <w:rFonts w:ascii="Calibri" w:eastAsia="맑은 고딕" w:hAnsi="Calibri" w:cs="Calibri" w:hint="eastAsia"/>
          <w:color w:val="auto"/>
        </w:rPr>
        <w:t>.</w:t>
      </w:r>
      <w:r w:rsidRPr="003E193C">
        <w:rPr>
          <w:rFonts w:ascii="Calibri" w:eastAsia="맑은 고딕" w:hAnsi="Calibri" w:cs="Calibri"/>
          <w:color w:val="auto"/>
        </w:rPr>
        <w:t xml:space="preserve"> 8)</w:t>
      </w:r>
      <w:r w:rsidRPr="003E193C">
        <w:rPr>
          <w:rFonts w:ascii="Calibri" w:eastAsia="맑은 고딕" w:hAnsi="Calibri" w:cs="Calibri" w:hint="eastAsia"/>
          <w:color w:val="auto"/>
        </w:rPr>
        <w:t>.</w:t>
      </w:r>
    </w:p>
    <w:p w14:paraId="63AF0012"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p>
    <w:p w14:paraId="4BA293F2"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p>
    <w:p w14:paraId="371289D9"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p>
    <w:p w14:paraId="5D3F28FD"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맑은 고딕" w:eastAsia="맑은 고딕" w:hAnsi="맑은 고딕" w:cs="Times New Roman"/>
          <w:noProof/>
          <w:color w:val="auto"/>
          <w:kern w:val="2"/>
          <w:sz w:val="20"/>
        </w:rPr>
        <w:drawing>
          <wp:anchor distT="0" distB="71755" distL="114300" distR="114300" simplePos="0" relativeHeight="251659264" behindDoc="0" locked="0" layoutInCell="1" allowOverlap="1" wp14:anchorId="7E0D9ABC" wp14:editId="6AF62038">
            <wp:simplePos x="0" y="0"/>
            <wp:positionH relativeFrom="column">
              <wp:posOffset>-15240</wp:posOffset>
            </wp:positionH>
            <wp:positionV relativeFrom="paragraph">
              <wp:posOffset>325755</wp:posOffset>
            </wp:positionV>
            <wp:extent cx="5705475" cy="3027045"/>
            <wp:effectExtent l="0" t="0" r="9525" b="20955"/>
            <wp:wrapTopAndBottom/>
            <wp:docPr id="27" name="차트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E193C">
        <w:rPr>
          <w:rFonts w:ascii="Calibri" w:eastAsia="맑은 고딕" w:hAnsi="Calibri" w:cs="Calibri"/>
          <w:b/>
          <w:bCs/>
          <w:color w:val="auto"/>
        </w:rPr>
        <w:t>Figure 8:</w:t>
      </w:r>
      <w:r w:rsidRPr="003E193C">
        <w:rPr>
          <w:rFonts w:ascii="Calibri" w:eastAsia="맑은 고딕" w:hAnsi="Calibri" w:cs="Calibri" w:hint="eastAsia"/>
          <w:b/>
          <w:bCs/>
          <w:color w:val="auto"/>
        </w:rPr>
        <w:t xml:space="preserve"> </w:t>
      </w:r>
      <w:r w:rsidRPr="003E193C">
        <w:rPr>
          <w:rFonts w:ascii="Calibri" w:eastAsia="맑은 고딕" w:hAnsi="Calibri" w:cs="Calibri"/>
          <w:b/>
          <w:bCs/>
          <w:color w:val="auto"/>
        </w:rPr>
        <w:t>Perceived reasons of avoiding childbearing</w:t>
      </w:r>
    </w:p>
    <w:p w14:paraId="5B1465F9"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b/>
          <w:bCs/>
          <w:iCs/>
          <w:color w:val="auto"/>
        </w:rPr>
      </w:pPr>
      <w:r w:rsidRPr="003E193C">
        <w:rPr>
          <w:rFonts w:ascii="Calibri" w:eastAsia="맑은 고딕" w:hAnsi="Calibri" w:cs="Calibri"/>
          <w:color w:val="auto"/>
        </w:rPr>
        <w:t xml:space="preserve">Source: </w:t>
      </w:r>
      <w:proofErr w:type="spellStart"/>
      <w:r w:rsidRPr="003E193C">
        <w:rPr>
          <w:rFonts w:ascii="Calibri" w:eastAsia="맑은 고딕" w:hAnsi="Calibri" w:cs="Calibri"/>
          <w:color w:val="auto"/>
        </w:rPr>
        <w:t>Asan</w:t>
      </w:r>
      <w:proofErr w:type="spellEnd"/>
      <w:r w:rsidRPr="003E193C">
        <w:rPr>
          <w:rFonts w:ascii="Calibri" w:eastAsia="맑은 고딕" w:hAnsi="Calibri" w:cs="Calibri"/>
          <w:color w:val="auto"/>
        </w:rPr>
        <w:t xml:space="preserve"> </w:t>
      </w:r>
      <w:r w:rsidRPr="003E193C">
        <w:rPr>
          <w:rFonts w:ascii="Calibri" w:eastAsia="맑은 고딕" w:hAnsi="Calibri" w:cs="Calibri" w:hint="eastAsia"/>
          <w:color w:val="auto"/>
        </w:rPr>
        <w:t>Fertility Survey</w:t>
      </w:r>
      <w:r w:rsidRPr="003E193C">
        <w:rPr>
          <w:rFonts w:ascii="Calibri" w:eastAsia="맑은 고딕" w:hAnsi="Calibri" w:cs="Calibri"/>
          <w:color w:val="auto"/>
        </w:rPr>
        <w:t>, Oct 2015</w:t>
      </w:r>
      <w:r w:rsidRPr="003E193C">
        <w:rPr>
          <w:rFonts w:ascii="Calibri" w:eastAsia="맑은 고딕" w:hAnsi="Calibri" w:cs="Calibri"/>
          <w:b/>
          <w:bCs/>
          <w:i/>
          <w:iCs/>
          <w:color w:val="auto"/>
        </w:rPr>
        <w:t>.</w:t>
      </w:r>
    </w:p>
    <w:p w14:paraId="3898E929"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t>Thus, ensuring continuity of employment of the new parents, as well as flexibility of working arrangements for mothers and their spouses and quality and affordability of childcare are the natural directions to pursue. Declaring support of higher fertility in general terms, as governments tend to do, and even lending it some sort of general-purpose budget cannot be expected to help much. To give these policies a realistic chance of success the policy makers need to:</w:t>
      </w:r>
    </w:p>
    <w:p w14:paraId="5D358C5B" w14:textId="77777777" w:rsidR="003E193C" w:rsidRPr="003E193C" w:rsidRDefault="003E193C" w:rsidP="003E193C">
      <w:pPr>
        <w:widowControl w:val="0"/>
        <w:numPr>
          <w:ilvl w:val="0"/>
          <w:numId w:val="2"/>
        </w:numPr>
        <w:wordWrap w:val="0"/>
        <w:autoSpaceDE w:val="0"/>
        <w:autoSpaceDN w:val="0"/>
        <w:spacing w:before="240" w:after="200"/>
        <w:jc w:val="both"/>
        <w:rPr>
          <w:rFonts w:ascii="Calibri" w:eastAsia="맑은 고딕" w:hAnsi="Calibri" w:cs="Calibri"/>
          <w:color w:val="FF0000"/>
        </w:rPr>
      </w:pPr>
      <w:r w:rsidRPr="003E193C">
        <w:rPr>
          <w:rFonts w:ascii="Calibri" w:eastAsia="맑은 고딕" w:hAnsi="Calibri" w:cs="Calibri"/>
          <w:color w:val="auto"/>
        </w:rPr>
        <w:t>correctly identify causes of low fertility, in this case: postponement of births in line with the new lifestyle;</w:t>
      </w:r>
    </w:p>
    <w:p w14:paraId="6A565D51" w14:textId="77777777" w:rsidR="003E193C" w:rsidRPr="003E193C" w:rsidRDefault="003E193C" w:rsidP="003E193C">
      <w:pPr>
        <w:widowControl w:val="0"/>
        <w:numPr>
          <w:ilvl w:val="0"/>
          <w:numId w:val="2"/>
        </w:numPr>
        <w:wordWrap w:val="0"/>
        <w:autoSpaceDE w:val="0"/>
        <w:autoSpaceDN w:val="0"/>
        <w:spacing w:before="240" w:after="200"/>
        <w:jc w:val="both"/>
        <w:rPr>
          <w:rFonts w:ascii="Calibri" w:eastAsia="맑은 고딕" w:hAnsi="Calibri" w:cs="Calibri"/>
          <w:color w:val="FF0000"/>
        </w:rPr>
      </w:pPr>
      <w:r w:rsidRPr="003E193C">
        <w:rPr>
          <w:rFonts w:ascii="Calibri" w:eastAsia="맑은 고딕" w:hAnsi="Calibri" w:cs="Calibri"/>
          <w:color w:val="auto"/>
        </w:rPr>
        <w:t>identify the groups that are amenable to intervention because the</w:t>
      </w:r>
      <w:r w:rsidRPr="003E193C">
        <w:rPr>
          <w:rFonts w:ascii="Calibri" w:eastAsia="맑은 고딕" w:hAnsi="Calibri" w:cs="Calibri" w:hint="eastAsia"/>
          <w:color w:val="auto"/>
        </w:rPr>
        <w:t>y</w:t>
      </w:r>
      <w:r w:rsidRPr="003E193C">
        <w:rPr>
          <w:rFonts w:ascii="Calibri" w:eastAsia="맑은 고딕" w:hAnsi="Calibri" w:cs="Calibri"/>
          <w:color w:val="auto"/>
        </w:rPr>
        <w:t xml:space="preserve"> are already on the path to building a family: women and men in their 30s and 40s;</w:t>
      </w:r>
    </w:p>
    <w:p w14:paraId="0E46D99A" w14:textId="77777777" w:rsidR="003E193C" w:rsidRPr="003E193C" w:rsidRDefault="003E193C" w:rsidP="003E193C">
      <w:pPr>
        <w:widowControl w:val="0"/>
        <w:numPr>
          <w:ilvl w:val="0"/>
          <w:numId w:val="2"/>
        </w:numPr>
        <w:wordWrap w:val="0"/>
        <w:autoSpaceDE w:val="0"/>
        <w:autoSpaceDN w:val="0"/>
        <w:spacing w:before="240" w:after="200"/>
        <w:jc w:val="both"/>
        <w:rPr>
          <w:rFonts w:ascii="Calibri" w:eastAsia="맑은 고딕" w:hAnsi="Calibri" w:cs="Calibri"/>
          <w:color w:val="FF0000"/>
        </w:rPr>
      </w:pPr>
      <w:proofErr w:type="gramStart"/>
      <w:r w:rsidRPr="003E193C">
        <w:rPr>
          <w:rFonts w:ascii="Calibri" w:eastAsia="맑은 고딕" w:hAnsi="Calibri" w:cs="Calibri"/>
          <w:color w:val="auto"/>
        </w:rPr>
        <w:t>focus</w:t>
      </w:r>
      <w:proofErr w:type="gramEnd"/>
      <w:r w:rsidRPr="003E193C">
        <w:rPr>
          <w:rFonts w:ascii="Calibri" w:eastAsia="맑은 고딕" w:hAnsi="Calibri" w:cs="Calibri"/>
          <w:color w:val="auto"/>
        </w:rPr>
        <w:t xml:space="preserve"> on the areas deemed most relevant by these groups.</w:t>
      </w:r>
    </w:p>
    <w:p w14:paraId="4F168F02"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b/>
          <w:bCs/>
          <w:color w:val="auto"/>
        </w:rPr>
      </w:pPr>
      <w:r w:rsidRPr="003E193C">
        <w:rPr>
          <w:rFonts w:ascii="Calibri" w:eastAsia="맑은 고딕" w:hAnsi="Calibri" w:cs="Calibri"/>
          <w:b/>
          <w:bCs/>
          <w:color w:val="auto"/>
        </w:rPr>
        <w:t>The number of births and the future of population growth in South Korea</w:t>
      </w:r>
    </w:p>
    <w:p w14:paraId="2F79240F"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t xml:space="preserve">The discussion now turns to a different, and often forgotten, topic of the consequences of the increase in fertility. Is the number of births in South Korea expected to rise as a result of the projected increase in fertility? The answer is not as simple as it seems. Intuitively, it appears that an increase in fertility must mean ‘more births’ and more positive population balance. However, there is another demographic regularity at play in determining the number of births, in addition to fertility as such, and that is the number of women of childbearing ages in population. South Korea has </w:t>
      </w:r>
      <w:r w:rsidRPr="003E193C">
        <w:rPr>
          <w:rFonts w:ascii="Calibri" w:eastAsia="맑은 고딕" w:hAnsi="Calibri" w:cs="Calibri"/>
          <w:color w:val="auto"/>
        </w:rPr>
        <w:lastRenderedPageBreak/>
        <w:t>experienced falling fertility for a while now and young groups in its population are numerically smaller than the older groups.</w:t>
      </w:r>
    </w:p>
    <w:p w14:paraId="55690F3E"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t>Observe the South Korean population pyramid in Figure 9. The base of the pyramid is narrower compared to the middle, which means that the number of parents of the future (and especially, mothers of the future) is projected to be smaller than the number of today’s parents. Consider the following specific example. An age group with the highest fertility in South Korea in 2015 is 30-34 years. In 2015 this age group had 1,8</w:t>
      </w:r>
      <w:r w:rsidRPr="003E193C">
        <w:rPr>
          <w:rFonts w:ascii="Calibri" w:eastAsia="맑은 고딕" w:hAnsi="Calibri" w:cs="Calibri" w:hint="eastAsia"/>
          <w:color w:val="auto"/>
        </w:rPr>
        <w:t>36</w:t>
      </w:r>
      <w:r w:rsidRPr="003E193C">
        <w:rPr>
          <w:rFonts w:ascii="Calibri" w:eastAsia="맑은 고딕" w:hAnsi="Calibri" w:cs="Calibri"/>
          <w:color w:val="auto"/>
        </w:rPr>
        <w:t>,</w:t>
      </w:r>
      <w:r w:rsidRPr="003E193C">
        <w:rPr>
          <w:rFonts w:ascii="Calibri" w:eastAsia="맑은 고딕" w:hAnsi="Calibri" w:cs="Calibri" w:hint="eastAsia"/>
          <w:color w:val="auto"/>
        </w:rPr>
        <w:t>890</w:t>
      </w:r>
      <w:r w:rsidRPr="003E193C">
        <w:rPr>
          <w:rFonts w:ascii="Calibri" w:eastAsia="맑은 고딕" w:hAnsi="Calibri" w:cs="Calibri"/>
          <w:color w:val="auto"/>
        </w:rPr>
        <w:t xml:space="preserve"> women. However, 5 years later, in 2020, the number of women in this group will be around 1,</w:t>
      </w:r>
      <w:r w:rsidRPr="003E193C">
        <w:rPr>
          <w:rFonts w:ascii="Calibri" w:eastAsia="맑은 고딕" w:hAnsi="Calibri" w:cs="Calibri" w:hint="eastAsia"/>
          <w:color w:val="auto"/>
        </w:rPr>
        <w:t>551</w:t>
      </w:r>
      <w:r w:rsidRPr="003E193C">
        <w:rPr>
          <w:rFonts w:ascii="Calibri" w:eastAsia="맑은 고딕" w:hAnsi="Calibri" w:cs="Calibri"/>
          <w:color w:val="auto"/>
        </w:rPr>
        <w:t>,</w:t>
      </w:r>
      <w:r w:rsidRPr="003E193C">
        <w:rPr>
          <w:rFonts w:ascii="Calibri" w:eastAsia="맑은 고딕" w:hAnsi="Calibri" w:cs="Calibri" w:hint="eastAsia"/>
          <w:color w:val="auto"/>
        </w:rPr>
        <w:t>043</w:t>
      </w:r>
      <w:r w:rsidRPr="003E193C">
        <w:rPr>
          <w:rFonts w:ascii="Calibri" w:eastAsia="맑은 고딕" w:hAnsi="Calibri" w:cs="Calibri"/>
          <w:color w:val="auto"/>
        </w:rPr>
        <w:t xml:space="preserve"> (these are women aged 25-29 years in 2015, who will, naturally, form the age group 30-34 years in 2020). When the youngest children will reach age 30-34, around year 2045, there will be just 1,1</w:t>
      </w:r>
      <w:r w:rsidRPr="003E193C">
        <w:rPr>
          <w:rFonts w:ascii="Calibri" w:eastAsia="맑은 고딕" w:hAnsi="Calibri" w:cs="Calibri" w:hint="eastAsia"/>
          <w:color w:val="auto"/>
        </w:rPr>
        <w:t>11</w:t>
      </w:r>
      <w:r w:rsidRPr="003E193C">
        <w:rPr>
          <w:rFonts w:ascii="Calibri" w:eastAsia="맑은 고딕" w:hAnsi="Calibri" w:cs="Calibri"/>
          <w:color w:val="auto"/>
        </w:rPr>
        <w:t>,</w:t>
      </w:r>
      <w:r w:rsidRPr="003E193C">
        <w:rPr>
          <w:rFonts w:ascii="Calibri" w:eastAsia="맑은 고딕" w:hAnsi="Calibri" w:cs="Calibri" w:hint="eastAsia"/>
          <w:color w:val="auto"/>
        </w:rPr>
        <w:t>014</w:t>
      </w:r>
      <w:r w:rsidRPr="003E193C">
        <w:rPr>
          <w:rFonts w:ascii="Calibri" w:eastAsia="맑은 고딕" w:hAnsi="Calibri" w:cs="Calibri"/>
          <w:color w:val="auto"/>
        </w:rPr>
        <w:t xml:space="preserve"> women in 30-34 years age group. In this example, no allowances have been made for mortality (not very high in South Korea) or migration, but even without these factors the main lesson is clear: contraction of potential mothers is on the cards in South Korea and this may suppress the number of births and population growth even if the number of children per woman increases.</w:t>
      </w:r>
      <w:r w:rsidRPr="003E193C">
        <w:rPr>
          <w:rFonts w:ascii="Calibri" w:eastAsia="맑은 고딕" w:hAnsi="Calibri" w:cs="Calibri"/>
          <w:color w:val="auto"/>
          <w:vertAlign w:val="superscript"/>
        </w:rPr>
        <w:footnoteReference w:id="9"/>
      </w:r>
      <w:r w:rsidRPr="003E193C">
        <w:rPr>
          <w:rFonts w:ascii="Calibri" w:eastAsia="맑은 고딕" w:hAnsi="Calibri" w:cs="Calibri"/>
          <w:color w:val="auto"/>
        </w:rPr>
        <w:t xml:space="preserve"> The described phenomenon is known as ‘population momentum’.</w:t>
      </w:r>
    </w:p>
    <w:p w14:paraId="3A7A956A" w14:textId="77777777" w:rsidR="003E193C" w:rsidRPr="003E193C" w:rsidRDefault="003E193C" w:rsidP="003E193C">
      <w:pPr>
        <w:widowControl w:val="0"/>
        <w:wordWrap w:val="0"/>
        <w:autoSpaceDE w:val="0"/>
        <w:autoSpaceDN w:val="0"/>
        <w:spacing w:after="200"/>
        <w:jc w:val="both"/>
        <w:rPr>
          <w:rFonts w:ascii="Calibri" w:eastAsia="맑은 고딕" w:hAnsi="Calibri" w:cs="Calibri"/>
          <w:b/>
          <w:bCs/>
          <w:color w:val="auto"/>
        </w:rPr>
      </w:pPr>
      <w:r w:rsidRPr="003E193C">
        <w:rPr>
          <w:rFonts w:ascii="Calibri" w:eastAsia="맑은 고딕" w:hAnsi="Calibri" w:cs="Calibri"/>
          <w:b/>
          <w:bCs/>
          <w:noProof/>
          <w:color w:val="auto"/>
        </w:rPr>
        <w:drawing>
          <wp:anchor distT="0" distB="71755" distL="114300" distR="114300" simplePos="0" relativeHeight="251665408" behindDoc="0" locked="0" layoutInCell="1" allowOverlap="1" wp14:anchorId="7F3F0358" wp14:editId="2F7042AD">
            <wp:simplePos x="0" y="0"/>
            <wp:positionH relativeFrom="column">
              <wp:posOffset>608330</wp:posOffset>
            </wp:positionH>
            <wp:positionV relativeFrom="paragraph">
              <wp:posOffset>328930</wp:posOffset>
            </wp:positionV>
            <wp:extent cx="4625975" cy="3905885"/>
            <wp:effectExtent l="0" t="0" r="3175"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975" cy="3905885"/>
                    </a:xfrm>
                    <a:prstGeom prst="rect">
                      <a:avLst/>
                    </a:prstGeom>
                    <a:noFill/>
                  </pic:spPr>
                </pic:pic>
              </a:graphicData>
            </a:graphic>
            <wp14:sizeRelH relativeFrom="margin">
              <wp14:pctWidth>0</wp14:pctWidth>
            </wp14:sizeRelH>
            <wp14:sizeRelV relativeFrom="margin">
              <wp14:pctHeight>0</wp14:pctHeight>
            </wp14:sizeRelV>
          </wp:anchor>
        </w:drawing>
      </w:r>
      <w:r w:rsidRPr="003E193C">
        <w:rPr>
          <w:rFonts w:ascii="Calibri" w:eastAsia="맑은 고딕" w:hAnsi="Calibri" w:cs="Calibri"/>
          <w:b/>
          <w:bCs/>
          <w:noProof/>
          <w:color w:val="auto"/>
        </w:rPr>
        <mc:AlternateContent>
          <mc:Choice Requires="wps">
            <w:drawing>
              <wp:anchor distT="0" distB="0" distL="114300" distR="114300" simplePos="0" relativeHeight="251662336" behindDoc="0" locked="0" layoutInCell="1" allowOverlap="1" wp14:anchorId="00BABC7F" wp14:editId="16DDF8DB">
                <wp:simplePos x="0" y="0"/>
                <wp:positionH relativeFrom="column">
                  <wp:posOffset>562162</wp:posOffset>
                </wp:positionH>
                <wp:positionV relativeFrom="paragraph">
                  <wp:posOffset>4192419</wp:posOffset>
                </wp:positionV>
                <wp:extent cx="45719" cy="107722"/>
                <wp:effectExtent l="0" t="0" r="0" b="6985"/>
                <wp:wrapNone/>
                <wp:docPr id="17" name="TextBox 8"/>
                <wp:cNvGraphicFramePr/>
                <a:graphic xmlns:a="http://schemas.openxmlformats.org/drawingml/2006/main">
                  <a:graphicData uri="http://schemas.microsoft.com/office/word/2010/wordprocessingShape">
                    <wps:wsp>
                      <wps:cNvSpPr txBox="1"/>
                      <wps:spPr>
                        <a:xfrm>
                          <a:off x="0" y="0"/>
                          <a:ext cx="45719" cy="107722"/>
                        </a:xfrm>
                        <a:prstGeom prst="rect">
                          <a:avLst/>
                        </a:prstGeom>
                        <a:solidFill>
                          <a:sysClr val="window" lastClr="FFFFFF"/>
                        </a:solidFill>
                      </wps:spPr>
                      <wps:bodyPr wrap="square" rtlCol="0">
                        <a:sp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6711734" id="_x0000_t202" coordsize="21600,21600" o:spt="202" path="m,l,21600r21600,l21600,xe">
                <v:stroke joinstyle="miter"/>
                <v:path gradientshapeok="t" o:connecttype="rect"/>
              </v:shapetype>
              <v:shape id="TextBox 8" o:spid="_x0000_s1026" type="#_x0000_t202" style="position:absolute;margin-left:44.25pt;margin-top:330.1pt;width:3.6pt;height: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" fillcolor="window" stroked="f">
                <v:textbox style="mso-fit-shape-to-text:t"/>
              </v:shape>
            </w:pict>
          </mc:Fallback>
        </mc:AlternateContent>
      </w:r>
      <w:r w:rsidRPr="003E193C">
        <w:rPr>
          <w:rFonts w:ascii="Calibri" w:eastAsia="맑은 고딕" w:hAnsi="Calibri" w:cs="Calibri"/>
          <w:b/>
          <w:bCs/>
          <w:color w:val="auto"/>
        </w:rPr>
        <w:t>Figure 9:</w:t>
      </w:r>
      <w:r w:rsidRPr="003E193C">
        <w:rPr>
          <w:rFonts w:ascii="Calibri" w:eastAsia="맑은 고딕" w:hAnsi="Calibri" w:cs="Calibri" w:hint="eastAsia"/>
          <w:b/>
          <w:bCs/>
          <w:color w:val="auto"/>
        </w:rPr>
        <w:t xml:space="preserve"> </w:t>
      </w:r>
      <w:r w:rsidRPr="003E193C">
        <w:rPr>
          <w:rFonts w:ascii="Calibri" w:eastAsia="맑은 고딕" w:hAnsi="Calibri" w:cs="Calibri"/>
          <w:b/>
          <w:bCs/>
          <w:color w:val="auto"/>
        </w:rPr>
        <w:t>South Korean population pyramid, 2015</w:t>
      </w:r>
    </w:p>
    <w:p w14:paraId="0BC2DFD3"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rPr>
        <w:t xml:space="preserve">Sources: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4E114CBC" w14:textId="77777777" w:rsidR="003E193C" w:rsidRPr="003E193C" w:rsidRDefault="003E193C" w:rsidP="003E193C">
      <w:pPr>
        <w:widowControl w:val="0"/>
        <w:wordWrap w:val="0"/>
        <w:autoSpaceDE w:val="0"/>
        <w:autoSpaceDN w:val="0"/>
        <w:spacing w:before="240" w:after="200"/>
        <w:jc w:val="both"/>
        <w:rPr>
          <w:rFonts w:ascii="Calibri" w:eastAsia="맑은 고딕" w:hAnsi="Calibri" w:cs="Calibri"/>
          <w:color w:val="auto"/>
        </w:rPr>
      </w:pPr>
      <w:r w:rsidRPr="003E193C">
        <w:rPr>
          <w:rFonts w:ascii="Calibri" w:eastAsia="맑은 고딕" w:hAnsi="Calibri" w:cs="Calibri"/>
          <w:color w:val="auto"/>
        </w:rPr>
        <w:lastRenderedPageBreak/>
        <w:t>The dependence of the number of births on the population structure is often thought of as a ‘trap’. This very feature may counterbalance the gains from the increase in fertility. The policy makers are well advised to take into account the existence of population momentum and adjust their expectations, metaphorically speaking, as to the impact of any policies aimed and increasing fertility. The policies may prove successful and/or fertility may increase for reasons independent of specific policies, but the increase in the number of births is not an arithmetical necessity following from the increase in fertility. To further illustrate this point we present an estimated number of women of childbearing age in years 2005-2025. All figures for years 2015-2025 have been estimated by the Korean statistical authority and allow for mortality and migration. The population of potential mothers in South Korea is declining and in 2025 it is projected to be 1</w:t>
      </w:r>
      <w:r w:rsidRPr="003E193C">
        <w:rPr>
          <w:rFonts w:ascii="Calibri" w:eastAsia="맑은 고딕" w:hAnsi="Calibri" w:cs="Calibri" w:hint="eastAsia"/>
          <w:color w:val="auto"/>
        </w:rPr>
        <w:t>9.8</w:t>
      </w:r>
      <w:r w:rsidRPr="003E193C">
        <w:rPr>
          <w:rFonts w:ascii="Calibri" w:eastAsia="맑은 고딕" w:hAnsi="Calibri" w:cs="Calibri"/>
          <w:color w:val="auto"/>
        </w:rPr>
        <w:t>% lower than in 2005.</w:t>
      </w:r>
      <w:r w:rsidRPr="003E193C">
        <w:rPr>
          <w:rFonts w:ascii="Calibri" w:eastAsia="맑은 고딕" w:hAnsi="Calibri" w:cs="Calibri"/>
          <w:color w:val="FF0000"/>
        </w:rPr>
        <w:t xml:space="preserve"> </w:t>
      </w:r>
      <w:r w:rsidRPr="003E193C">
        <w:rPr>
          <w:rFonts w:ascii="Calibri" w:eastAsia="맑은 고딕" w:hAnsi="Calibri" w:cs="Calibri"/>
          <w:color w:val="auto"/>
        </w:rPr>
        <w:t xml:space="preserve">There was a nearly </w:t>
      </w:r>
      <w:r w:rsidRPr="003E193C">
        <w:rPr>
          <w:rFonts w:ascii="Calibri" w:eastAsia="맑은 고딕" w:hAnsi="Calibri" w:cs="Calibri" w:hint="eastAsia"/>
          <w:color w:val="auto"/>
        </w:rPr>
        <w:t>5.6</w:t>
      </w:r>
      <w:r w:rsidRPr="003E193C">
        <w:rPr>
          <w:rFonts w:ascii="Calibri" w:eastAsia="맑은 고딕" w:hAnsi="Calibri" w:cs="Calibri"/>
          <w:color w:val="auto"/>
        </w:rPr>
        <w:t>% decline in years 2005-2015.</w:t>
      </w:r>
    </w:p>
    <w:p w14:paraId="08B9B326" w14:textId="77777777" w:rsidR="003E193C" w:rsidRPr="003E193C" w:rsidRDefault="003E193C" w:rsidP="001E050E">
      <w:pPr>
        <w:widowControl w:val="0"/>
        <w:wordWrap w:val="0"/>
        <w:autoSpaceDE w:val="0"/>
        <w:autoSpaceDN w:val="0"/>
        <w:spacing w:before="240" w:after="200"/>
        <w:rPr>
          <w:rFonts w:ascii="Calibri" w:eastAsia="맑은 고딕" w:hAnsi="Calibri" w:cs="Calibri"/>
          <w:color w:val="auto"/>
        </w:rPr>
      </w:pPr>
      <w:r w:rsidRPr="003E193C">
        <w:rPr>
          <w:rFonts w:ascii="맑은 고딕" w:eastAsia="맑은 고딕" w:hAnsi="맑은 고딕" w:cs="Times New Roman"/>
          <w:noProof/>
          <w:color w:val="auto"/>
          <w:kern w:val="2"/>
          <w:sz w:val="20"/>
        </w:rPr>
        <w:drawing>
          <wp:anchor distT="0" distB="71755" distL="114300" distR="114300" simplePos="0" relativeHeight="251649024" behindDoc="0" locked="0" layoutInCell="1" allowOverlap="1" wp14:anchorId="5CA09D2F" wp14:editId="18BAFF30">
            <wp:simplePos x="0" y="0"/>
            <wp:positionH relativeFrom="column">
              <wp:posOffset>357505</wp:posOffset>
            </wp:positionH>
            <wp:positionV relativeFrom="paragraph">
              <wp:posOffset>236220</wp:posOffset>
            </wp:positionV>
            <wp:extent cx="5025390" cy="3108960"/>
            <wp:effectExtent l="0" t="0" r="22860" b="15240"/>
            <wp:wrapTopAndBottom/>
            <wp:docPr id="29" name="차트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3E193C">
        <w:rPr>
          <w:rFonts w:ascii="Calibri" w:eastAsia="맑은 고딕" w:hAnsi="Calibri" w:cs="Calibri"/>
          <w:b/>
          <w:bCs/>
          <w:color w:val="auto"/>
        </w:rPr>
        <w:t>Figure 10: Estimated number of women aged 15-49 years in South Korea, 2005-2025</w:t>
      </w:r>
      <w:r w:rsidRPr="003E193C">
        <w:rPr>
          <w:rFonts w:ascii="Calibri" w:eastAsia="맑은 고딕" w:hAnsi="Calibri" w:cs="Calibri" w:hint="eastAsia"/>
          <w:b/>
          <w:bCs/>
          <w:color w:val="auto"/>
        </w:rPr>
        <w:br/>
      </w:r>
      <w:r w:rsidRPr="003E193C">
        <w:rPr>
          <w:rFonts w:ascii="Calibri" w:eastAsia="맑은 고딕" w:hAnsi="Calibri" w:cs="Calibri"/>
          <w:color w:val="auto"/>
        </w:rPr>
        <w:t xml:space="preserve">Sources: Population projections produced by </w:t>
      </w:r>
      <w:r w:rsidRPr="003E193C">
        <w:rPr>
          <w:rFonts w:ascii="Calibri" w:eastAsia="맑은 고딕" w:hAnsi="Calibri" w:cs="Calibri" w:hint="eastAsia"/>
          <w:color w:val="auto"/>
        </w:rPr>
        <w:t>Korean Statistical Information Service</w:t>
      </w:r>
      <w:r w:rsidRPr="003E193C">
        <w:rPr>
          <w:rFonts w:ascii="Calibri" w:eastAsia="맑은 고딕" w:hAnsi="Calibri" w:cs="Calibri"/>
          <w:color w:val="auto"/>
        </w:rPr>
        <w:t>.</w:t>
      </w:r>
    </w:p>
    <w:p w14:paraId="571A6D07"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kern w:val="2"/>
        </w:rPr>
        <w:t>Consider the interaction of decline in population of women with increasing fertility. In 2005 there were 13,</w:t>
      </w:r>
      <w:r w:rsidRPr="003E193C">
        <w:rPr>
          <w:rFonts w:ascii="Calibri" w:eastAsia="맑은 고딕" w:hAnsi="Calibri" w:cs="Calibri" w:hint="eastAsia"/>
          <w:color w:val="auto"/>
          <w:kern w:val="2"/>
        </w:rPr>
        <w:t>355</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636</w:t>
      </w:r>
      <w:r w:rsidRPr="003E193C">
        <w:rPr>
          <w:rFonts w:ascii="Calibri" w:eastAsia="맑은 고딕" w:hAnsi="Calibri" w:cs="Calibri"/>
          <w:color w:val="auto"/>
          <w:kern w:val="2"/>
        </w:rPr>
        <w:t xml:space="preserve"> estimated women of childbearing age in South Korea. Total fertility rate in 2005 was record low in South Korean history</w:t>
      </w:r>
      <w:r w:rsidRPr="003E193C">
        <w:rPr>
          <w:rFonts w:ascii="Calibri" w:eastAsia="맑은 고딕" w:hAnsi="Calibri" w:cs="Calibri" w:hint="eastAsia"/>
          <w:color w:val="auto"/>
          <w:kern w:val="2"/>
        </w:rPr>
        <w:t xml:space="preserve"> at </w:t>
      </w:r>
      <w:r w:rsidRPr="003E193C">
        <w:rPr>
          <w:rFonts w:ascii="Calibri" w:eastAsia="맑은 고딕" w:hAnsi="Calibri" w:cs="Calibri"/>
          <w:color w:val="auto"/>
          <w:kern w:val="2"/>
        </w:rPr>
        <w:t>1.</w:t>
      </w:r>
      <w:r w:rsidRPr="003E193C">
        <w:rPr>
          <w:rFonts w:ascii="Calibri" w:eastAsia="맑은 고딕" w:hAnsi="Calibri" w:cs="Calibri" w:hint="eastAsia"/>
          <w:color w:val="auto"/>
          <w:kern w:val="2"/>
        </w:rPr>
        <w:t>076</w:t>
      </w:r>
      <w:r w:rsidRPr="003E193C">
        <w:rPr>
          <w:rFonts w:ascii="Calibri" w:eastAsia="맑은 고딕" w:hAnsi="Calibri" w:cs="Calibri"/>
          <w:color w:val="auto"/>
          <w:kern w:val="2"/>
        </w:rPr>
        <w:t xml:space="preserve"> children per woman.</w:t>
      </w:r>
      <w:r w:rsidRPr="003E193C">
        <w:rPr>
          <w:rFonts w:ascii="Calibri" w:eastAsia="맑은 고딕" w:hAnsi="Calibri" w:cs="Calibri"/>
          <w:color w:val="FF0000"/>
          <w:kern w:val="2"/>
        </w:rPr>
        <w:t xml:space="preserve"> </w:t>
      </w:r>
      <w:r w:rsidRPr="003E193C">
        <w:rPr>
          <w:rFonts w:ascii="Calibri" w:eastAsia="맑은 고딕" w:hAnsi="Calibri" w:cs="Calibri"/>
          <w:color w:val="auto"/>
          <w:kern w:val="2"/>
        </w:rPr>
        <w:t>In that year estimated 4</w:t>
      </w:r>
      <w:r w:rsidRPr="003E193C">
        <w:rPr>
          <w:rFonts w:ascii="Calibri" w:eastAsia="맑은 고딕" w:hAnsi="Calibri" w:cs="Calibri" w:hint="eastAsia"/>
          <w:color w:val="auto"/>
          <w:kern w:val="2"/>
        </w:rPr>
        <w:t>20</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812</w:t>
      </w:r>
      <w:r w:rsidRPr="003E193C">
        <w:rPr>
          <w:rFonts w:ascii="Calibri" w:eastAsia="맑은 고딕" w:hAnsi="Calibri" w:cs="Calibri"/>
          <w:color w:val="auto"/>
          <w:kern w:val="2"/>
        </w:rPr>
        <w:t xml:space="preserve"> births took place. A decade later, in 2015, TFR was 15% higher than in 2005: 1.24 children per woman.</w:t>
      </w:r>
      <w:r w:rsidRPr="003E193C">
        <w:rPr>
          <w:rFonts w:ascii="Calibri" w:eastAsia="맑은 고딕" w:hAnsi="Calibri" w:cs="Calibri"/>
          <w:color w:val="FF0000"/>
          <w:kern w:val="2"/>
        </w:rPr>
        <w:t xml:space="preserve"> </w:t>
      </w:r>
      <w:r w:rsidRPr="003E193C">
        <w:rPr>
          <w:rFonts w:ascii="Calibri" w:eastAsia="맑은 고딕" w:hAnsi="Calibri" w:cs="Calibri"/>
          <w:color w:val="auto"/>
          <w:kern w:val="2"/>
        </w:rPr>
        <w:t>Yet, the number of births was almost the same: 43</w:t>
      </w:r>
      <w:r w:rsidRPr="003E193C">
        <w:rPr>
          <w:rFonts w:ascii="Calibri" w:eastAsia="맑은 고딕" w:hAnsi="Calibri" w:cs="Calibri" w:hint="eastAsia"/>
          <w:color w:val="auto"/>
          <w:kern w:val="2"/>
        </w:rPr>
        <w:t>8</w:t>
      </w:r>
      <w:r w:rsidRPr="003E193C">
        <w:rPr>
          <w:rFonts w:ascii="Calibri" w:eastAsia="맑은 고딕" w:hAnsi="Calibri" w:cs="Calibri"/>
          <w:color w:val="auto"/>
          <w:kern w:val="2"/>
        </w:rPr>
        <w:t>,1</w:t>
      </w:r>
      <w:r w:rsidRPr="003E193C">
        <w:rPr>
          <w:rFonts w:ascii="Calibri" w:eastAsia="맑은 고딕" w:hAnsi="Calibri" w:cs="Calibri" w:hint="eastAsia"/>
          <w:color w:val="auto"/>
          <w:kern w:val="2"/>
        </w:rPr>
        <w:t>47</w:t>
      </w:r>
      <w:r w:rsidRPr="003E193C">
        <w:rPr>
          <w:rFonts w:ascii="Calibri" w:eastAsia="맑은 고딕" w:hAnsi="Calibri" w:cs="Calibri"/>
          <w:color w:val="auto"/>
          <w:kern w:val="2"/>
        </w:rPr>
        <w:t xml:space="preserve">, </w:t>
      </w:r>
      <w:r w:rsidRPr="003E193C">
        <w:rPr>
          <w:rFonts w:ascii="Calibri" w:eastAsia="맑은 고딕" w:hAnsi="Calibri" w:cs="Calibri" w:hint="eastAsia"/>
          <w:color w:val="auto"/>
          <w:kern w:val="2"/>
        </w:rPr>
        <w:t>about</w:t>
      </w:r>
      <w:r w:rsidRPr="003E193C">
        <w:rPr>
          <w:rFonts w:ascii="Calibri" w:eastAsia="맑은 고딕" w:hAnsi="Calibri" w:cs="Calibri"/>
          <w:color w:val="auto"/>
          <w:kern w:val="2"/>
        </w:rPr>
        <w:t xml:space="preserve"> </w:t>
      </w:r>
      <w:r w:rsidRPr="003E193C">
        <w:rPr>
          <w:rFonts w:ascii="Calibri" w:eastAsia="맑은 고딕" w:hAnsi="Calibri" w:cs="Calibri" w:hint="eastAsia"/>
          <w:color w:val="auto"/>
          <w:kern w:val="2"/>
        </w:rPr>
        <w:t>4</w:t>
      </w:r>
      <w:r w:rsidRPr="003E193C">
        <w:rPr>
          <w:rFonts w:ascii="Calibri" w:eastAsia="맑은 고딕" w:hAnsi="Calibri" w:cs="Calibri"/>
          <w:color w:val="auto"/>
          <w:kern w:val="2"/>
        </w:rPr>
        <w:t xml:space="preserve">% higher than in 2005. This is because the number of women giving birth declined in the meantime and the increase in TFR </w:t>
      </w:r>
      <w:r w:rsidRPr="003E193C">
        <w:rPr>
          <w:rFonts w:ascii="Calibri" w:eastAsia="맑은 고딕" w:hAnsi="Calibri" w:cs="Calibri" w:hint="eastAsia"/>
          <w:color w:val="auto"/>
          <w:kern w:val="2"/>
        </w:rPr>
        <w:t>i</w:t>
      </w:r>
      <w:r w:rsidRPr="003E193C">
        <w:rPr>
          <w:rFonts w:ascii="Calibri" w:eastAsia="맑은 고딕" w:hAnsi="Calibri" w:cs="Calibri"/>
          <w:color w:val="auto"/>
          <w:kern w:val="2"/>
        </w:rPr>
        <w:t xml:space="preserve">s not sufficient to counter-balance the effect of that decline. If 2015 fertility levels were applied to the number of women in 2005, the expected number of births in 2015 would be </w:t>
      </w:r>
      <w:r w:rsidRPr="003E193C">
        <w:rPr>
          <w:rFonts w:ascii="Calibri" w:eastAsia="맑은 고딕" w:hAnsi="Calibri" w:cs="Calibri" w:hint="eastAsia"/>
          <w:color w:val="auto"/>
          <w:kern w:val="2"/>
        </w:rPr>
        <w:t>498</w:t>
      </w:r>
      <w:r w:rsidRPr="003E193C">
        <w:rPr>
          <w:rFonts w:ascii="Calibri" w:eastAsia="맑은 고딕" w:hAnsi="Calibri" w:cs="Calibri"/>
          <w:color w:val="auto"/>
          <w:kern w:val="2"/>
        </w:rPr>
        <w:t>,</w:t>
      </w:r>
      <w:r w:rsidRPr="003E193C">
        <w:rPr>
          <w:rFonts w:ascii="Calibri" w:eastAsia="맑은 고딕" w:hAnsi="Calibri" w:cs="Calibri" w:hint="eastAsia"/>
          <w:color w:val="auto"/>
          <w:kern w:val="2"/>
        </w:rPr>
        <w:t>658</w:t>
      </w:r>
      <w:r w:rsidRPr="003E193C">
        <w:rPr>
          <w:rFonts w:ascii="Calibri" w:eastAsia="맑은 고딕" w:hAnsi="Calibri" w:cs="Calibri"/>
          <w:color w:val="auto"/>
          <w:kern w:val="2"/>
        </w:rPr>
        <w:t>, an 18</w:t>
      </w:r>
      <w:r w:rsidRPr="003E193C">
        <w:rPr>
          <w:rFonts w:ascii="Calibri" w:eastAsia="맑은 고딕" w:hAnsi="Calibri" w:cs="Calibri" w:hint="eastAsia"/>
          <w:color w:val="auto"/>
          <w:kern w:val="2"/>
        </w:rPr>
        <w:t>.5</w:t>
      </w:r>
      <w:r w:rsidRPr="003E193C">
        <w:rPr>
          <w:rFonts w:ascii="Calibri" w:eastAsia="맑은 고딕" w:hAnsi="Calibri" w:cs="Calibri"/>
          <w:color w:val="auto"/>
          <w:kern w:val="2"/>
        </w:rPr>
        <w:t>% increase!</w:t>
      </w:r>
    </w:p>
    <w:p w14:paraId="2BD59689" w14:textId="77777777" w:rsidR="003E193C" w:rsidRPr="003E193C" w:rsidRDefault="003E193C" w:rsidP="003E193C">
      <w:pPr>
        <w:widowControl w:val="0"/>
        <w:wordWrap w:val="0"/>
        <w:autoSpaceDE w:val="0"/>
        <w:autoSpaceDN w:val="0"/>
        <w:spacing w:after="200"/>
        <w:jc w:val="both"/>
        <w:rPr>
          <w:rFonts w:ascii="Calibri" w:eastAsia="맑은 고딕" w:hAnsi="Calibri" w:cs="Calibri"/>
          <w:color w:val="auto"/>
          <w:kern w:val="2"/>
        </w:rPr>
      </w:pPr>
      <w:r w:rsidRPr="003E193C">
        <w:rPr>
          <w:rFonts w:ascii="Calibri" w:eastAsia="맑은 고딕" w:hAnsi="Calibri" w:cs="Calibri"/>
          <w:color w:val="auto"/>
          <w:kern w:val="2"/>
        </w:rPr>
        <w:t xml:space="preserve">In previous sections we projected fertility forward and have shown that, should the recently observed trends continue, increase in South Korean fertility is very likely. In this section we indicated </w:t>
      </w:r>
      <w:r w:rsidRPr="003E193C">
        <w:rPr>
          <w:rFonts w:ascii="Calibri" w:eastAsia="맑은 고딕" w:hAnsi="Calibri" w:cs="Calibri"/>
          <w:color w:val="auto"/>
          <w:kern w:val="2"/>
        </w:rPr>
        <w:lastRenderedPageBreak/>
        <w:t>that decline in the number of potential mothers will take place concomitantly thus dampening the effect of fertility increase. It should not be surprising if the number of births in the next few years remains not very far from the record low number observed in 2005. Thus, in policy terms an investment in encouragement of higher fertility is as important as preparing for the consequences of population aging, an inevitable process ‘written in the body’ of the South Korean population pyramid. The recovery of fertility will help to stabilize population structure but will not prevent increase in proportion of the elderly in the medium term. The effects of the projected increase in fertility on population structure will be fully felt in a few demographic generations time.</w:t>
      </w:r>
    </w:p>
    <w:p w14:paraId="3BFCDC50" w14:textId="77777777" w:rsidR="003E193C" w:rsidRPr="003E193C" w:rsidRDefault="003E193C" w:rsidP="003E193C">
      <w:pPr>
        <w:widowControl w:val="0"/>
        <w:wordWrap w:val="0"/>
        <w:autoSpaceDE w:val="0"/>
        <w:autoSpaceDN w:val="0"/>
        <w:spacing w:after="200"/>
        <w:jc w:val="both"/>
        <w:rPr>
          <w:rFonts w:ascii="Calibri" w:eastAsia="맑은 고딕" w:hAnsi="Calibri" w:cs="Calibri"/>
          <w:b/>
          <w:color w:val="auto"/>
          <w:kern w:val="2"/>
        </w:rPr>
      </w:pPr>
      <w:r w:rsidRPr="003E193C">
        <w:rPr>
          <w:rFonts w:ascii="Calibri" w:eastAsia="맑은 고딕" w:hAnsi="Calibri" w:cs="Calibri" w:hint="eastAsia"/>
          <w:b/>
          <w:color w:val="auto"/>
          <w:kern w:val="2"/>
        </w:rPr>
        <w:t>Acknowledgements</w:t>
      </w:r>
    </w:p>
    <w:p w14:paraId="6E9CBB08" w14:textId="77777777" w:rsidR="003E193C" w:rsidRPr="003E193C" w:rsidRDefault="003E193C" w:rsidP="003E193C">
      <w:pPr>
        <w:widowControl w:val="0"/>
        <w:wordWrap w:val="0"/>
        <w:autoSpaceDE w:val="0"/>
        <w:autoSpaceDN w:val="0"/>
        <w:spacing w:after="200"/>
        <w:jc w:val="both"/>
        <w:rPr>
          <w:rFonts w:ascii="Calibri" w:eastAsia="맑은 고딕" w:hAnsi="Calibri" w:cs="Calibri"/>
          <w:bCs/>
          <w:iCs/>
          <w:color w:val="auto"/>
        </w:rPr>
      </w:pPr>
      <w:r w:rsidRPr="003E193C">
        <w:rPr>
          <w:rFonts w:ascii="Calibri" w:eastAsia="맑은 고딕" w:hAnsi="Calibri" w:cs="Calibri" w:hint="eastAsia"/>
          <w:bCs/>
          <w:iCs/>
          <w:color w:val="auto"/>
        </w:rPr>
        <w:t>We would like to thank Mr. Geon-</w:t>
      </w:r>
      <w:proofErr w:type="spellStart"/>
      <w:r w:rsidRPr="003E193C">
        <w:rPr>
          <w:rFonts w:ascii="Calibri" w:eastAsia="맑은 고딕" w:hAnsi="Calibri" w:cs="Calibri" w:hint="eastAsia"/>
          <w:bCs/>
          <w:iCs/>
          <w:color w:val="auto"/>
        </w:rPr>
        <w:t>Hee</w:t>
      </w:r>
      <w:proofErr w:type="spellEnd"/>
      <w:r w:rsidRPr="003E193C">
        <w:rPr>
          <w:rFonts w:ascii="Calibri" w:eastAsia="맑은 고딕" w:hAnsi="Calibri" w:cs="Calibri" w:hint="eastAsia"/>
          <w:bCs/>
          <w:iCs/>
          <w:color w:val="auto"/>
        </w:rPr>
        <w:t xml:space="preserve"> Ham for his help with data collection.</w:t>
      </w:r>
    </w:p>
    <w:p w14:paraId="6051EBCC" w14:textId="77777777" w:rsidR="00E160D9" w:rsidRPr="003E193C" w:rsidRDefault="00E160D9" w:rsidP="003119CB">
      <w:pPr>
        <w:rPr>
          <w:rFonts w:asciiTheme="minorHAnsi" w:eastAsiaTheme="minorHAnsi" w:hAnsiTheme="minorHAnsi" w:cs="Arial Unicode MS"/>
          <w:b/>
        </w:rPr>
      </w:pPr>
    </w:p>
    <w:sectPr w:rsidR="00E160D9" w:rsidRPr="003E193C" w:rsidSect="00217E4F">
      <w:headerReference w:type="default" r:id="rId25"/>
      <w:footerReference w:type="default" r:id="rId26"/>
      <w:pgSz w:w="11909" w:h="16834"/>
      <w:pgMar w:top="2041" w:right="1440" w:bottom="1701" w:left="1440" w:header="1134"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80094" w14:textId="77777777" w:rsidR="00F24818" w:rsidRDefault="00F24818">
      <w:pPr>
        <w:spacing w:line="240" w:lineRule="auto"/>
      </w:pPr>
      <w:r>
        <w:separator/>
      </w:r>
    </w:p>
  </w:endnote>
  <w:endnote w:type="continuationSeparator" w:id="0">
    <w:p w14:paraId="270D7E35" w14:textId="77777777" w:rsidR="00F24818" w:rsidRDefault="00F248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roma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CC245" w14:textId="77777777" w:rsidR="00510BF0" w:rsidRDefault="001F1722">
    <w:pPr>
      <w:pStyle w:val="a8"/>
    </w:pPr>
    <w:r>
      <w:rPr>
        <w:noProof/>
      </w:rPr>
      <w:drawing>
        <wp:anchor distT="0" distB="0" distL="114300" distR="114300" simplePos="0" relativeHeight="251661312" behindDoc="0" locked="0" layoutInCell="1" allowOverlap="1" wp14:anchorId="11CE11B1" wp14:editId="29896222">
          <wp:simplePos x="0" y="0"/>
          <wp:positionH relativeFrom="margin">
            <wp:posOffset>-1068070</wp:posOffset>
          </wp:positionH>
          <wp:positionV relativeFrom="margin">
            <wp:posOffset>8723630</wp:posOffset>
          </wp:positionV>
          <wp:extent cx="7870190" cy="877570"/>
          <wp:effectExtent l="0" t="0" r="3810" b="11430"/>
          <wp:wrapSquare wrapText="bothSides"/>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0190" cy="8775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C4804" w14:textId="77777777" w:rsidR="00F24818" w:rsidRDefault="00F24818">
      <w:pPr>
        <w:spacing w:line="240" w:lineRule="auto"/>
      </w:pPr>
      <w:r>
        <w:separator/>
      </w:r>
    </w:p>
  </w:footnote>
  <w:footnote w:type="continuationSeparator" w:id="0">
    <w:p w14:paraId="7B31DC6B" w14:textId="77777777" w:rsidR="00F24818" w:rsidRDefault="00F24818">
      <w:pPr>
        <w:spacing w:line="240" w:lineRule="auto"/>
      </w:pPr>
      <w:r>
        <w:continuationSeparator/>
      </w:r>
    </w:p>
  </w:footnote>
  <w:footnote w:id="1">
    <w:p w14:paraId="58DC8DD5" w14:textId="77777777" w:rsidR="003E193C" w:rsidRDefault="003E193C" w:rsidP="003E193C">
      <w:pPr>
        <w:pStyle w:val="af"/>
        <w:jc w:val="both"/>
        <w:rPr>
          <w:lang w:eastAsia="ko-KR"/>
        </w:rPr>
      </w:pPr>
      <w:r w:rsidRPr="000140DD">
        <w:rPr>
          <w:rStyle w:val="af0"/>
          <w:rFonts w:ascii="Calibri" w:hAnsi="Calibri" w:cs="Calibri"/>
        </w:rPr>
        <w:footnoteRef/>
      </w:r>
      <w:r w:rsidRPr="000140DD">
        <w:rPr>
          <w:rFonts w:ascii="Calibri" w:hAnsi="Calibri" w:cs="Calibri"/>
        </w:rPr>
        <w:t xml:space="preserve"> </w:t>
      </w:r>
      <w:r w:rsidRPr="000140DD">
        <w:rPr>
          <w:rFonts w:ascii="Calibri" w:eastAsia="맑은 고딕" w:hAnsi="Calibri" w:cs="Calibri"/>
          <w:lang w:eastAsia="ko-KR"/>
        </w:rPr>
        <w:t xml:space="preserve">In the latest </w:t>
      </w:r>
      <w:r w:rsidRPr="000140DD">
        <w:rPr>
          <w:rFonts w:ascii="Calibri" w:eastAsia="맑은 고딕" w:hAnsi="Calibri" w:cs="Calibri"/>
        </w:rPr>
        <w:t>‘The Third Plan for Ageing Society and Population’</w:t>
      </w:r>
      <w:r w:rsidRPr="000140DD">
        <w:rPr>
          <w:rFonts w:ascii="Calibri" w:eastAsia="맑은 고딕" w:hAnsi="Calibri" w:cs="Calibri"/>
          <w:lang w:eastAsia="ko-KR"/>
        </w:rPr>
        <w:t xml:space="preserve"> </w:t>
      </w:r>
      <w:r w:rsidRPr="000140DD">
        <w:rPr>
          <w:rFonts w:ascii="Calibri" w:eastAsia="맑은 고딕" w:hAnsi="Calibri" w:cs="Calibri"/>
        </w:rPr>
        <w:t>for the period 2016-2020</w:t>
      </w:r>
      <w:r w:rsidRPr="000140DD">
        <w:rPr>
          <w:rFonts w:ascii="Calibri" w:eastAsia="맑은 고딕" w:hAnsi="Calibri" w:cs="Calibri"/>
          <w:lang w:eastAsia="ko-KR"/>
        </w:rPr>
        <w:t>, t</w:t>
      </w:r>
      <w:r w:rsidRPr="000140DD">
        <w:rPr>
          <w:rFonts w:ascii="Calibri" w:eastAsia="맑은 고딕" w:hAnsi="Calibri" w:cs="Calibri"/>
        </w:rPr>
        <w:t>he government plans to spend 108.4 trillion KRW (96.3 billion USD) on new and existing schemes to raise birth rates between 2016 and 2020.</w:t>
      </w:r>
      <w:r w:rsidRPr="000140DD">
        <w:rPr>
          <w:rFonts w:ascii="Calibri" w:eastAsia="맑은 고딕" w:hAnsi="Calibri" w:cs="Calibri"/>
          <w:lang w:eastAsia="ko-KR"/>
        </w:rPr>
        <w:t xml:space="preserve"> Women in this particular age group and their spouses may prove more responsive to government intervention</w:t>
      </w:r>
      <w:r w:rsidRPr="003E193C">
        <w:rPr>
          <w:rFonts w:ascii="Calibri" w:eastAsia="맑은 고딕" w:hAnsi="Calibri" w:cs="Calibri"/>
          <w:lang w:eastAsia="ko-KR"/>
        </w:rPr>
        <w:t xml:space="preserve"> than other age groups.</w:t>
      </w:r>
    </w:p>
  </w:footnote>
  <w:footnote w:id="2">
    <w:p w14:paraId="203A0377" w14:textId="77777777" w:rsidR="003E193C" w:rsidRPr="003E193C" w:rsidRDefault="003E193C" w:rsidP="003E193C">
      <w:pPr>
        <w:pStyle w:val="af"/>
        <w:jc w:val="both"/>
        <w:rPr>
          <w:rFonts w:ascii="Calibri" w:eastAsia="맑은 고딕" w:hAnsi="Calibri" w:cs="Calibri"/>
          <w:i/>
          <w:lang w:eastAsia="ko-KR"/>
        </w:rPr>
      </w:pPr>
      <w:r>
        <w:rPr>
          <w:rStyle w:val="af0"/>
        </w:rPr>
        <w:footnoteRef/>
      </w:r>
      <w:r>
        <w:t xml:space="preserve"> </w:t>
      </w:r>
      <w:r w:rsidRPr="006A7F2B">
        <w:rPr>
          <w:rStyle w:val="HTML"/>
          <w:rFonts w:ascii="Calibri" w:eastAsia="맑은 고딕" w:hAnsi="Calibri" w:cs="Calibri"/>
          <w:i w:val="0"/>
        </w:rPr>
        <w:t>www.</w:t>
      </w:r>
      <w:r w:rsidRPr="006A7F2B">
        <w:rPr>
          <w:rStyle w:val="HTML"/>
          <w:rFonts w:ascii="Calibri" w:eastAsia="맑은 고딕" w:hAnsi="Calibri" w:cs="Calibri"/>
          <w:bCs/>
          <w:i w:val="0"/>
        </w:rPr>
        <w:t>kosis</w:t>
      </w:r>
      <w:r w:rsidRPr="006A7F2B">
        <w:rPr>
          <w:rStyle w:val="HTML"/>
          <w:rFonts w:ascii="Calibri" w:eastAsia="맑은 고딕" w:hAnsi="Calibri" w:cs="Calibri"/>
          <w:i w:val="0"/>
        </w:rPr>
        <w:t>.kr/</w:t>
      </w:r>
    </w:p>
  </w:footnote>
  <w:footnote w:id="3">
    <w:p w14:paraId="6CA3B2F6" w14:textId="77777777" w:rsidR="003E193C" w:rsidRPr="00225905" w:rsidRDefault="003E193C" w:rsidP="003E193C">
      <w:pPr>
        <w:pStyle w:val="af"/>
        <w:jc w:val="both"/>
        <w:rPr>
          <w:lang w:eastAsia="ko-KR"/>
        </w:rPr>
      </w:pPr>
      <w:r>
        <w:rPr>
          <w:rStyle w:val="af0"/>
        </w:rPr>
        <w:footnoteRef/>
      </w:r>
      <w:r>
        <w:t xml:space="preserve"> </w:t>
      </w:r>
      <w:r w:rsidRPr="004C1768">
        <w:rPr>
          <w:rFonts w:ascii="Calibri" w:hAnsi="Calibri" w:cs="Calibri"/>
        </w:rPr>
        <w:t>http://www.humanfertility.org</w:t>
      </w:r>
    </w:p>
  </w:footnote>
  <w:footnote w:id="4">
    <w:p w14:paraId="5F157330" w14:textId="1F79BFD6" w:rsidR="003E193C" w:rsidRPr="004D5285" w:rsidRDefault="003E193C" w:rsidP="003E193C">
      <w:pPr>
        <w:pStyle w:val="af"/>
        <w:jc w:val="both"/>
        <w:rPr>
          <w:lang w:eastAsia="ko-KR"/>
        </w:rPr>
      </w:pPr>
      <w:r>
        <w:rPr>
          <w:rStyle w:val="af0"/>
        </w:rPr>
        <w:footnoteRef/>
      </w:r>
      <w:r>
        <w:t xml:space="preserve"> </w:t>
      </w:r>
      <w:r w:rsidRPr="001E050E">
        <w:rPr>
          <w:rFonts w:ascii="Calibri" w:hAnsi="Calibri" w:cs="Calibri"/>
        </w:rPr>
        <w:t>http://www.mohw.go.kr</w:t>
      </w:r>
      <w:proofErr w:type="gramStart"/>
      <w:r w:rsidRPr="001E050E">
        <w:rPr>
          <w:rFonts w:ascii="Calibri" w:hAnsi="Calibri" w:cs="Calibri"/>
        </w:rPr>
        <w:t>/</w:t>
      </w:r>
      <w:r w:rsidRPr="00A2037E">
        <w:rPr>
          <w:rFonts w:ascii="Calibri" w:hAnsi="Calibri" w:cs="Calibri"/>
          <w:lang w:eastAsia="ko-KR"/>
        </w:rPr>
        <w:t xml:space="preserve"> </w:t>
      </w:r>
      <w:r>
        <w:rPr>
          <w:rFonts w:ascii="Calibri" w:hAnsi="Calibri" w:cs="Calibri" w:hint="eastAsia"/>
          <w:lang w:eastAsia="ko-KR"/>
        </w:rPr>
        <w:t xml:space="preserve"> </w:t>
      </w:r>
      <w:r w:rsidRPr="00A2037E">
        <w:rPr>
          <w:rFonts w:ascii="Calibri" w:hAnsi="Calibri" w:cs="Calibri"/>
          <w:lang w:eastAsia="ko-KR"/>
        </w:rPr>
        <w:t>It</w:t>
      </w:r>
      <w:proofErr w:type="gramEnd"/>
      <w:r w:rsidRPr="00A2037E">
        <w:rPr>
          <w:rFonts w:ascii="Calibri" w:hAnsi="Calibri" w:cs="Calibri"/>
          <w:lang w:eastAsia="ko-KR"/>
        </w:rPr>
        <w:t xml:space="preserve"> is only available in Korean version. </w:t>
      </w:r>
    </w:p>
  </w:footnote>
  <w:footnote w:id="5">
    <w:p w14:paraId="54F0E0F6" w14:textId="77777777" w:rsidR="003E193C" w:rsidRPr="00471944" w:rsidRDefault="003E193C" w:rsidP="003E193C">
      <w:pPr>
        <w:pStyle w:val="af"/>
        <w:jc w:val="both"/>
        <w:rPr>
          <w:rFonts w:ascii="Calibri" w:hAnsi="Calibri" w:cs="Calibri"/>
        </w:rPr>
      </w:pPr>
      <w:r>
        <w:rPr>
          <w:rStyle w:val="af0"/>
        </w:rPr>
        <w:footnoteRef/>
      </w:r>
      <w:r>
        <w:t xml:space="preserve"> </w:t>
      </w:r>
      <w:proofErr w:type="spellStart"/>
      <w:r w:rsidRPr="00471944">
        <w:rPr>
          <w:rFonts w:ascii="Calibri" w:hAnsi="Calibri" w:cs="Calibri"/>
        </w:rPr>
        <w:t>Hoorens</w:t>
      </w:r>
      <w:proofErr w:type="spellEnd"/>
      <w:r w:rsidRPr="00471944">
        <w:rPr>
          <w:rFonts w:ascii="Calibri" w:hAnsi="Calibri" w:cs="Calibri"/>
        </w:rPr>
        <w:t xml:space="preserve">, S., Clift, J., </w:t>
      </w:r>
      <w:proofErr w:type="spellStart"/>
      <w:r w:rsidRPr="00471944">
        <w:rPr>
          <w:rFonts w:ascii="Calibri" w:hAnsi="Calibri" w:cs="Calibri"/>
        </w:rPr>
        <w:t>Staetsky</w:t>
      </w:r>
      <w:proofErr w:type="spellEnd"/>
      <w:r w:rsidRPr="00471944">
        <w:rPr>
          <w:rFonts w:ascii="Calibri" w:hAnsi="Calibri" w:cs="Calibri"/>
        </w:rPr>
        <w:t xml:space="preserve">. </w:t>
      </w:r>
      <w:proofErr w:type="gramStart"/>
      <w:r w:rsidRPr="00471944">
        <w:rPr>
          <w:rFonts w:ascii="Calibri" w:hAnsi="Calibri" w:cs="Calibri"/>
        </w:rPr>
        <w:t xml:space="preserve">L., </w:t>
      </w:r>
      <w:proofErr w:type="spellStart"/>
      <w:r w:rsidRPr="00471944">
        <w:rPr>
          <w:rFonts w:ascii="Calibri" w:hAnsi="Calibri" w:cs="Calibri"/>
        </w:rPr>
        <w:t>Janta</w:t>
      </w:r>
      <w:proofErr w:type="spellEnd"/>
      <w:r w:rsidRPr="00471944">
        <w:rPr>
          <w:rFonts w:ascii="Calibri" w:hAnsi="Calibri" w:cs="Calibri"/>
        </w:rPr>
        <w:t xml:space="preserve">, B., </w:t>
      </w:r>
      <w:proofErr w:type="spellStart"/>
      <w:r w:rsidRPr="00471944">
        <w:rPr>
          <w:rFonts w:ascii="Calibri" w:hAnsi="Calibri" w:cs="Calibri"/>
        </w:rPr>
        <w:t>Diepeveen</w:t>
      </w:r>
      <w:proofErr w:type="spellEnd"/>
      <w:r w:rsidRPr="00471944">
        <w:rPr>
          <w:rFonts w:ascii="Calibri" w:hAnsi="Calibri" w:cs="Calibri"/>
        </w:rPr>
        <w:t>, S., Morgan Jones, M., and Grant.</w:t>
      </w:r>
      <w:proofErr w:type="gramEnd"/>
      <w:r w:rsidRPr="00471944">
        <w:rPr>
          <w:rFonts w:ascii="Calibri" w:hAnsi="Calibri" w:cs="Calibri"/>
        </w:rPr>
        <w:t xml:space="preserve"> J. 2011. </w:t>
      </w:r>
      <w:proofErr w:type="gramStart"/>
      <w:r w:rsidRPr="00471944">
        <w:rPr>
          <w:rFonts w:ascii="Calibri" w:hAnsi="Calibri" w:cs="Calibri"/>
        </w:rPr>
        <w:t>Low fertility in Europe.</w:t>
      </w:r>
      <w:proofErr w:type="gramEnd"/>
      <w:r w:rsidRPr="00471944">
        <w:rPr>
          <w:rFonts w:ascii="Calibri" w:hAnsi="Calibri" w:cs="Calibri"/>
        </w:rPr>
        <w:t xml:space="preserve"> Is there still reason to worry? RAND Corporation MG-1080, p.9.</w:t>
      </w:r>
    </w:p>
  </w:footnote>
  <w:footnote w:id="6">
    <w:p w14:paraId="37F3261E" w14:textId="4F987DD8" w:rsidR="003E193C" w:rsidRPr="0003016D" w:rsidRDefault="003E193C" w:rsidP="0053522A">
      <w:pPr>
        <w:pStyle w:val="af"/>
        <w:jc w:val="both"/>
        <w:rPr>
          <w:rFonts w:ascii="Calibri" w:hAnsi="Calibri" w:cs="Calibri"/>
          <w:lang w:eastAsia="ko-KR"/>
        </w:rPr>
      </w:pPr>
      <w:r w:rsidRPr="0003016D">
        <w:rPr>
          <w:rStyle w:val="af0"/>
          <w:rFonts w:ascii="Calibri" w:hAnsi="Calibri" w:cs="Calibri"/>
        </w:rPr>
        <w:footnoteRef/>
      </w:r>
      <w:r w:rsidR="00332FF1">
        <w:rPr>
          <w:rFonts w:ascii="Calibri" w:hAnsi="Calibri" w:cs="Calibri"/>
          <w:lang w:eastAsia="ko-KR"/>
        </w:rPr>
        <w:t xml:space="preserve"> </w:t>
      </w:r>
      <w:r w:rsidR="00332FF1">
        <w:rPr>
          <w:rFonts w:ascii="Calibri" w:hAnsi="Calibri" w:cs="Calibri" w:hint="eastAsia"/>
          <w:lang w:eastAsia="ko-KR"/>
        </w:rPr>
        <w:t xml:space="preserve"> </w:t>
      </w:r>
      <w:r w:rsidR="00332FF1">
        <w:rPr>
          <w:rFonts w:ascii="Calibri" w:hAnsi="Calibri" w:cs="Calibri"/>
          <w:lang w:eastAsia="ko-KR"/>
        </w:rPr>
        <w:t>We</w:t>
      </w:r>
      <w:r>
        <w:rPr>
          <w:rFonts w:ascii="Calibri" w:hAnsi="Calibri" w:cs="Calibri" w:hint="eastAsia"/>
          <w:lang w:eastAsia="ko-KR"/>
        </w:rPr>
        <w:t xml:space="preserve"> hypothesize that increasing </w:t>
      </w:r>
      <w:r w:rsidR="00332FF1">
        <w:rPr>
          <w:rFonts w:ascii="Calibri" w:hAnsi="Calibri" w:cs="Calibri"/>
          <w:lang w:eastAsia="ko-KR"/>
        </w:rPr>
        <w:t xml:space="preserve">fertility </w:t>
      </w:r>
      <w:r>
        <w:rPr>
          <w:rFonts w:ascii="Calibri" w:hAnsi="Calibri" w:cs="Calibri" w:hint="eastAsia"/>
          <w:lang w:eastAsia="ko-KR"/>
        </w:rPr>
        <w:t xml:space="preserve">will </w:t>
      </w:r>
      <w:r w:rsidR="00332FF1">
        <w:rPr>
          <w:rFonts w:ascii="Calibri" w:hAnsi="Calibri" w:cs="Calibri"/>
          <w:lang w:eastAsia="ko-KR"/>
        </w:rPr>
        <w:t xml:space="preserve">eventually </w:t>
      </w:r>
      <w:r>
        <w:rPr>
          <w:rFonts w:ascii="Calibri" w:hAnsi="Calibri" w:cs="Calibri" w:hint="eastAsia"/>
          <w:lang w:eastAsia="ko-KR"/>
        </w:rPr>
        <w:t xml:space="preserve">stabilize </w:t>
      </w:r>
      <w:r w:rsidR="00332FF1">
        <w:rPr>
          <w:rFonts w:ascii="Calibri" w:hAnsi="Calibri" w:cs="Calibri"/>
          <w:lang w:eastAsia="ko-KR"/>
        </w:rPr>
        <w:t>around</w:t>
      </w:r>
      <w:r w:rsidR="00332FF1">
        <w:rPr>
          <w:rFonts w:ascii="Calibri" w:hAnsi="Calibri" w:cs="Calibri" w:hint="eastAsia"/>
          <w:lang w:eastAsia="ko-KR"/>
        </w:rPr>
        <w:t xml:space="preserve"> TFR of 2.0</w:t>
      </w:r>
      <w:r w:rsidR="00332FF1">
        <w:rPr>
          <w:rFonts w:ascii="Calibri" w:hAnsi="Calibri" w:cs="Calibri"/>
          <w:lang w:eastAsia="ko-KR"/>
        </w:rPr>
        <w:t xml:space="preserve">, in accordance </w:t>
      </w:r>
      <w:r w:rsidR="006415E5">
        <w:rPr>
          <w:rFonts w:ascii="Calibri" w:hAnsi="Calibri" w:cs="Calibri"/>
          <w:lang w:eastAsia="ko-KR"/>
        </w:rPr>
        <w:t xml:space="preserve">with the expectation based on the </w:t>
      </w:r>
      <w:r w:rsidR="00332FF1">
        <w:rPr>
          <w:rFonts w:ascii="Calibri" w:hAnsi="Calibri" w:cs="Calibri"/>
          <w:lang w:eastAsia="ko-KR"/>
        </w:rPr>
        <w:t>demographic transition theory</w:t>
      </w:r>
      <w:r>
        <w:rPr>
          <w:rFonts w:ascii="Calibri" w:hAnsi="Calibri" w:cs="Calibri" w:hint="eastAsia"/>
          <w:lang w:eastAsia="ko-KR"/>
        </w:rPr>
        <w:t xml:space="preserve">. It remains to be seen if TFR will indeed follow the steep slope of the projected curve. What is important here is that ASFRs in the 30-39 age </w:t>
      </w:r>
      <w:proofErr w:type="gramStart"/>
      <w:r>
        <w:rPr>
          <w:rFonts w:ascii="Calibri" w:hAnsi="Calibri" w:cs="Calibri" w:hint="eastAsia"/>
          <w:lang w:eastAsia="ko-KR"/>
        </w:rPr>
        <w:t>group</w:t>
      </w:r>
      <w:proofErr w:type="gramEnd"/>
      <w:r>
        <w:rPr>
          <w:rFonts w:ascii="Calibri" w:hAnsi="Calibri" w:cs="Calibri" w:hint="eastAsia"/>
          <w:lang w:eastAsia="ko-KR"/>
        </w:rPr>
        <w:t xml:space="preserve"> are likely to increase in the coming years. On a related issue, t</w:t>
      </w:r>
      <w:r w:rsidRPr="0003016D">
        <w:rPr>
          <w:rFonts w:ascii="Calibri" w:hAnsi="Calibri" w:cs="Calibri"/>
        </w:rPr>
        <w:t>here are many factors that determine fertility rates</w:t>
      </w:r>
      <w:r>
        <w:rPr>
          <w:rFonts w:ascii="Calibri" w:hAnsi="Calibri" w:cs="Calibri" w:hint="eastAsia"/>
          <w:lang w:eastAsia="ko-KR"/>
        </w:rPr>
        <w:t>.</w:t>
      </w:r>
      <w:r>
        <w:rPr>
          <w:rFonts w:ascii="Calibri" w:hAnsi="Calibri" w:cs="Calibri"/>
        </w:rPr>
        <w:t xml:space="preserve"> </w:t>
      </w:r>
      <w:r>
        <w:rPr>
          <w:rFonts w:ascii="Calibri" w:hAnsi="Calibri" w:cs="Calibri" w:hint="eastAsia"/>
          <w:lang w:eastAsia="ko-KR"/>
        </w:rPr>
        <w:t>These</w:t>
      </w:r>
      <w:r w:rsidRPr="0003016D">
        <w:rPr>
          <w:rFonts w:ascii="Calibri" w:hAnsi="Calibri" w:cs="Calibri"/>
        </w:rPr>
        <w:t xml:space="preserve"> include, for example, the level of education, the availability of birth control and the cost of raising and educating children and many others.</w:t>
      </w:r>
      <w:r>
        <w:rPr>
          <w:rFonts w:ascii="Calibri" w:hAnsi="Calibri" w:cs="Calibri" w:hint="eastAsia"/>
          <w:lang w:eastAsia="ko-KR"/>
        </w:rPr>
        <w:t xml:space="preserve"> </w:t>
      </w:r>
    </w:p>
  </w:footnote>
  <w:footnote w:id="7">
    <w:p w14:paraId="3D7A734E" w14:textId="03DA4E65" w:rsidR="00A277C8" w:rsidRPr="00490929" w:rsidRDefault="00A277C8" w:rsidP="00AF3F24">
      <w:pPr>
        <w:jc w:val="both"/>
        <w:rPr>
          <w:rFonts w:ascii="Calibri" w:eastAsia="맑은 고딕" w:hAnsi="Calibri" w:cs="Calibri"/>
          <w:sz w:val="20"/>
          <w:szCs w:val="20"/>
        </w:rPr>
      </w:pPr>
      <w:r w:rsidRPr="001D69F0">
        <w:rPr>
          <w:rStyle w:val="af0"/>
          <w:rFonts w:ascii="Calibri" w:hAnsi="Calibri" w:cs="Calibri"/>
          <w:sz w:val="20"/>
          <w:szCs w:val="20"/>
        </w:rPr>
        <w:footnoteRef/>
      </w:r>
      <w:r w:rsidR="00490929">
        <w:rPr>
          <w:rFonts w:ascii="Calibri" w:hAnsi="Calibri" w:cs="Calibri" w:hint="eastAsia"/>
        </w:rPr>
        <w:t xml:space="preserve"> </w:t>
      </w:r>
      <w:r w:rsidR="00490929" w:rsidRPr="00490929">
        <w:rPr>
          <w:rFonts w:ascii="Calibri" w:hAnsi="Calibri" w:cs="Calibri" w:hint="eastAsia"/>
          <w:sz w:val="20"/>
          <w:szCs w:val="20"/>
        </w:rPr>
        <w:t>The previous plans laid down the groundwork to take on the problem of l</w:t>
      </w:r>
      <w:r w:rsidR="00AF3F24">
        <w:rPr>
          <w:rFonts w:ascii="Calibri" w:hAnsi="Calibri" w:cs="Calibri" w:hint="eastAsia"/>
          <w:sz w:val="20"/>
          <w:szCs w:val="20"/>
        </w:rPr>
        <w:t xml:space="preserve">ow birth rates and </w:t>
      </w:r>
      <w:r w:rsidR="003B61AE">
        <w:rPr>
          <w:rFonts w:ascii="Calibri" w:hAnsi="Calibri" w:cs="Calibri" w:hint="eastAsia"/>
          <w:sz w:val="20"/>
          <w:szCs w:val="20"/>
        </w:rPr>
        <w:t>succeeded in stopping</w:t>
      </w:r>
      <w:r w:rsidR="00490929" w:rsidRPr="00490929">
        <w:rPr>
          <w:rFonts w:ascii="Calibri" w:hAnsi="Calibri" w:cs="Calibri" w:hint="eastAsia"/>
          <w:sz w:val="20"/>
          <w:szCs w:val="20"/>
        </w:rPr>
        <w:t xml:space="preserve"> the further decline of TFR. </w:t>
      </w:r>
      <w:r w:rsidR="00490929" w:rsidRPr="00490929">
        <w:rPr>
          <w:rFonts w:ascii="Calibri" w:eastAsia="맑은 고딕" w:hAnsi="Calibri" w:cs="Calibri" w:hint="eastAsia"/>
          <w:sz w:val="20"/>
          <w:szCs w:val="20"/>
        </w:rPr>
        <w:t xml:space="preserve">But these plans were limited in scope and too focused on helping parents in monetary terms. </w:t>
      </w:r>
      <w:r w:rsidR="00794542" w:rsidRPr="00490929">
        <w:rPr>
          <w:rFonts w:ascii="Calibri" w:hAnsi="Calibri" w:cs="Calibri" w:hint="eastAsia"/>
          <w:sz w:val="20"/>
          <w:szCs w:val="20"/>
        </w:rPr>
        <w:t>In t</w:t>
      </w:r>
      <w:r w:rsidRPr="00490929">
        <w:rPr>
          <w:rFonts w:ascii="Calibri" w:hAnsi="Calibri" w:cs="Calibri"/>
          <w:sz w:val="20"/>
          <w:szCs w:val="20"/>
        </w:rPr>
        <w:t>he</w:t>
      </w:r>
      <w:r w:rsidRPr="00490929">
        <w:rPr>
          <w:rFonts w:ascii="Calibri" w:hAnsi="Calibri" w:cs="Calibri" w:hint="eastAsia"/>
          <w:sz w:val="20"/>
          <w:szCs w:val="20"/>
        </w:rPr>
        <w:t xml:space="preserve"> latest government</w:t>
      </w:r>
      <w:r w:rsidRPr="00490929">
        <w:rPr>
          <w:rFonts w:ascii="Calibri" w:hAnsi="Calibri" w:cs="Calibri"/>
          <w:sz w:val="20"/>
          <w:szCs w:val="20"/>
        </w:rPr>
        <w:t>’</w:t>
      </w:r>
      <w:r w:rsidR="00794542" w:rsidRPr="00490929">
        <w:rPr>
          <w:rFonts w:ascii="Calibri" w:hAnsi="Calibri" w:cs="Calibri" w:hint="eastAsia"/>
          <w:sz w:val="20"/>
          <w:szCs w:val="20"/>
        </w:rPr>
        <w:t>s third plan, t</w:t>
      </w:r>
      <w:r w:rsidR="002D1ADB" w:rsidRPr="00490929">
        <w:rPr>
          <w:rFonts w:ascii="Calibri" w:eastAsia="맑은 고딕" w:hAnsi="Calibri" w:cs="Calibri" w:hint="eastAsia"/>
          <w:sz w:val="20"/>
          <w:szCs w:val="20"/>
        </w:rPr>
        <w:t>he government is taking on more difficult challenges of transforming people</w:t>
      </w:r>
      <w:r w:rsidR="002D1ADB" w:rsidRPr="00490929">
        <w:rPr>
          <w:rFonts w:ascii="Calibri" w:eastAsia="맑은 고딕" w:hAnsi="Calibri" w:cs="Calibri"/>
          <w:sz w:val="20"/>
          <w:szCs w:val="20"/>
        </w:rPr>
        <w:t>’</w:t>
      </w:r>
      <w:r w:rsidR="002D1ADB" w:rsidRPr="00490929">
        <w:rPr>
          <w:rFonts w:ascii="Calibri" w:eastAsia="맑은 고딕" w:hAnsi="Calibri" w:cs="Calibri" w:hint="eastAsia"/>
          <w:sz w:val="20"/>
          <w:szCs w:val="20"/>
        </w:rPr>
        <w:t xml:space="preserve">s pervading social attitudes and </w:t>
      </w:r>
      <w:r w:rsidR="002D1ADB" w:rsidRPr="00490929">
        <w:rPr>
          <w:rFonts w:ascii="Calibri" w:eastAsia="맑은 고딕" w:hAnsi="Calibri" w:cs="Calibri"/>
          <w:sz w:val="20"/>
          <w:szCs w:val="20"/>
        </w:rPr>
        <w:t xml:space="preserve">perceptions which have </w:t>
      </w:r>
      <w:r w:rsidR="002D1ADB" w:rsidRPr="00490929">
        <w:rPr>
          <w:rStyle w:val="af1"/>
          <w:rFonts w:ascii="Calibri" w:hAnsi="Calibri" w:cs="Calibri"/>
          <w:b w:val="0"/>
          <w:sz w:val="20"/>
          <w:szCs w:val="20"/>
        </w:rPr>
        <w:t>exacerbat</w:t>
      </w:r>
      <w:r w:rsidR="002D1ADB" w:rsidRPr="00490929">
        <w:rPr>
          <w:rFonts w:ascii="Calibri" w:eastAsia="맑은 고딕" w:hAnsi="Calibri" w:cs="Calibri"/>
          <w:sz w:val="20"/>
          <w:szCs w:val="20"/>
        </w:rPr>
        <w:t xml:space="preserve">ed the problem of low birth rates. </w:t>
      </w:r>
      <w:r w:rsidR="003B61AE">
        <w:rPr>
          <w:rFonts w:ascii="Calibri" w:eastAsia="맑은 고딕" w:hAnsi="Calibri" w:cs="Calibri" w:hint="eastAsia"/>
          <w:sz w:val="20"/>
          <w:szCs w:val="20"/>
        </w:rPr>
        <w:t xml:space="preserve">For </w:t>
      </w:r>
      <w:r w:rsidR="003B61AE">
        <w:rPr>
          <w:rFonts w:ascii="Calibri" w:eastAsia="맑은 고딕" w:hAnsi="Calibri" w:cs="Calibri"/>
          <w:sz w:val="20"/>
          <w:szCs w:val="20"/>
        </w:rPr>
        <w:t>example</w:t>
      </w:r>
      <w:r w:rsidR="003B61AE">
        <w:rPr>
          <w:rFonts w:ascii="Calibri" w:eastAsia="맑은 고딕" w:hAnsi="Calibri" w:cs="Calibri" w:hint="eastAsia"/>
          <w:sz w:val="20"/>
          <w:szCs w:val="20"/>
        </w:rPr>
        <w:t>, m</w:t>
      </w:r>
      <w:r w:rsidR="002D1ADB" w:rsidRPr="00490929">
        <w:rPr>
          <w:rFonts w:ascii="Calibri" w:eastAsia="맑은 고딕" w:hAnsi="Calibri" w:cs="Calibri" w:hint="eastAsia"/>
          <w:sz w:val="20"/>
          <w:szCs w:val="20"/>
        </w:rPr>
        <w:t xml:space="preserve">any </w:t>
      </w:r>
      <w:r w:rsidR="002D1ADB" w:rsidRPr="00490929">
        <w:rPr>
          <w:rFonts w:ascii="Calibri" w:eastAsia="맑은 고딕" w:hAnsi="Calibri" w:cs="Calibri"/>
          <w:sz w:val="20"/>
          <w:szCs w:val="20"/>
        </w:rPr>
        <w:t xml:space="preserve">unmarried single mothers experience </w:t>
      </w:r>
      <w:r w:rsidR="002D1ADB" w:rsidRPr="00490929">
        <w:rPr>
          <w:rFonts w:ascii="Calibri" w:eastAsia="맑은 고딕" w:hAnsi="Calibri" w:cs="Calibri" w:hint="eastAsia"/>
          <w:sz w:val="20"/>
          <w:szCs w:val="20"/>
        </w:rPr>
        <w:t xml:space="preserve">prejudice and </w:t>
      </w:r>
      <w:r w:rsidR="002D1ADB" w:rsidRPr="00490929">
        <w:rPr>
          <w:rFonts w:ascii="Calibri" w:eastAsia="맑은 고딕" w:hAnsi="Calibri" w:cs="Calibri"/>
          <w:sz w:val="20"/>
          <w:szCs w:val="20"/>
        </w:rPr>
        <w:t>discrimination</w:t>
      </w:r>
      <w:r w:rsidR="002B2869" w:rsidRPr="00490929">
        <w:rPr>
          <w:rFonts w:ascii="Calibri" w:eastAsia="맑은 고딕" w:hAnsi="Calibri" w:cs="Calibri" w:hint="eastAsia"/>
          <w:sz w:val="20"/>
          <w:szCs w:val="20"/>
        </w:rPr>
        <w:t xml:space="preserve"> and the abortion rate in this group is very high. </w:t>
      </w:r>
      <w:r w:rsidR="001D69F0" w:rsidRPr="00490929">
        <w:rPr>
          <w:rFonts w:ascii="Calibri" w:eastAsia="맑은 고딕" w:hAnsi="Calibri" w:cs="Calibri"/>
          <w:sz w:val="20"/>
          <w:szCs w:val="20"/>
        </w:rPr>
        <w:t>How</w:t>
      </w:r>
      <w:r w:rsidR="001D69F0" w:rsidRPr="00490929">
        <w:rPr>
          <w:rFonts w:ascii="Calibri" w:eastAsia="맑은 고딕" w:hAnsi="Calibri" w:cs="Calibri" w:hint="eastAsia"/>
          <w:sz w:val="20"/>
          <w:szCs w:val="20"/>
        </w:rPr>
        <w:t xml:space="preserve"> </w:t>
      </w:r>
      <w:r w:rsidR="001D69F0" w:rsidRPr="00490929">
        <w:rPr>
          <w:rFonts w:ascii="Calibri" w:eastAsia="맑은 고딕" w:hAnsi="Calibri" w:cs="Calibri"/>
          <w:sz w:val="20"/>
          <w:szCs w:val="20"/>
        </w:rPr>
        <w:t>effectively</w:t>
      </w:r>
      <w:r w:rsidR="001D69F0" w:rsidRPr="00490929">
        <w:rPr>
          <w:rFonts w:ascii="Calibri" w:eastAsia="맑은 고딕" w:hAnsi="Calibri" w:cs="Calibri" w:hint="eastAsia"/>
          <w:sz w:val="20"/>
          <w:szCs w:val="20"/>
        </w:rPr>
        <w:t xml:space="preserve"> the government can transform people</w:t>
      </w:r>
      <w:r w:rsidR="001D69F0" w:rsidRPr="00490929">
        <w:rPr>
          <w:rFonts w:ascii="Calibri" w:eastAsia="맑은 고딕" w:hAnsi="Calibri" w:cs="Calibri"/>
          <w:sz w:val="20"/>
          <w:szCs w:val="20"/>
        </w:rPr>
        <w:t>’</w:t>
      </w:r>
      <w:r w:rsidR="001D69F0" w:rsidRPr="00490929">
        <w:rPr>
          <w:rFonts w:ascii="Calibri" w:eastAsia="맑은 고딕" w:hAnsi="Calibri" w:cs="Calibri" w:hint="eastAsia"/>
          <w:sz w:val="20"/>
          <w:szCs w:val="20"/>
        </w:rPr>
        <w:t>s attitudes towards them and thus take a step closer to achieving its policy goal remains to be seen.</w:t>
      </w:r>
      <w:r w:rsidR="00490929" w:rsidRPr="00490929">
        <w:rPr>
          <w:rFonts w:ascii="Calibri" w:eastAsia="맑은 고딕" w:hAnsi="Calibri" w:cs="Calibri" w:hint="eastAsia"/>
          <w:sz w:val="20"/>
          <w:szCs w:val="20"/>
        </w:rPr>
        <w:t xml:space="preserve"> </w:t>
      </w:r>
    </w:p>
  </w:footnote>
  <w:footnote w:id="8">
    <w:p w14:paraId="773A5647" w14:textId="77777777" w:rsidR="00A06031" w:rsidRPr="001D69F0" w:rsidRDefault="00A06031" w:rsidP="00A06031">
      <w:pPr>
        <w:pStyle w:val="af"/>
        <w:jc w:val="both"/>
        <w:rPr>
          <w:lang w:eastAsia="ko-KR"/>
        </w:rPr>
      </w:pPr>
      <w:r w:rsidRPr="00490929">
        <w:rPr>
          <w:rStyle w:val="af0"/>
          <w:rFonts w:ascii="Calibri" w:hAnsi="Calibri" w:cs="Calibri"/>
        </w:rPr>
        <w:footnoteRef/>
      </w:r>
      <w:r w:rsidRPr="00490929">
        <w:rPr>
          <w:rFonts w:ascii="Calibri" w:hAnsi="Calibri" w:cs="Calibri"/>
        </w:rPr>
        <w:t xml:space="preserve"> </w:t>
      </w:r>
      <w:r w:rsidRPr="00490929">
        <w:rPr>
          <w:rFonts w:ascii="Calibri" w:hAnsi="Calibri" w:cs="Calibri"/>
          <w:lang w:eastAsia="ko-KR"/>
        </w:rPr>
        <w:t>This lends little support to the idea that economically good times (e.g., early 1990’s and 2000’s) would reduce the mean age at first marriage and this, in</w:t>
      </w:r>
      <w:r w:rsidRPr="001D69F0">
        <w:rPr>
          <w:rFonts w:ascii="Calibri" w:hAnsi="Calibri" w:cs="Calibri"/>
          <w:lang w:eastAsia="ko-KR"/>
        </w:rPr>
        <w:t xml:space="preserve"> turn, would increase the ASFRs in the 20-24 and 25-29 year age groups.</w:t>
      </w:r>
    </w:p>
  </w:footnote>
  <w:footnote w:id="9">
    <w:p w14:paraId="4E1B36BB" w14:textId="77777777" w:rsidR="003E193C" w:rsidRPr="00E07772" w:rsidRDefault="003E193C" w:rsidP="003E193C">
      <w:pPr>
        <w:pStyle w:val="af"/>
        <w:jc w:val="both"/>
        <w:rPr>
          <w:rFonts w:ascii="Calibri" w:hAnsi="Calibri" w:cs="Calibri"/>
          <w:lang w:eastAsia="ko-KR"/>
        </w:rPr>
      </w:pPr>
      <w:r w:rsidRPr="00E07772">
        <w:rPr>
          <w:rStyle w:val="af0"/>
          <w:rFonts w:ascii="Calibri" w:hAnsi="Calibri" w:cs="Calibri"/>
        </w:rPr>
        <w:footnoteRef/>
      </w:r>
      <w:r w:rsidRPr="00E07772">
        <w:rPr>
          <w:rFonts w:ascii="Calibri" w:hAnsi="Calibri" w:cs="Calibri"/>
        </w:rPr>
        <w:t xml:space="preserve"> </w:t>
      </w:r>
      <w:r w:rsidRPr="00E07772">
        <w:rPr>
          <w:rFonts w:ascii="Calibri" w:hAnsi="Calibri" w:cs="Calibri"/>
          <w:lang w:eastAsia="ko-KR"/>
        </w:rPr>
        <w:t xml:space="preserve">Back in the </w:t>
      </w:r>
      <w:r w:rsidRPr="00814303">
        <w:rPr>
          <w:rFonts w:ascii="Calibri" w:hAnsi="Calibri" w:cs="Calibri"/>
          <w:lang w:eastAsia="ko-KR"/>
        </w:rPr>
        <w:t>1970s and 1980s</w:t>
      </w:r>
      <w:r w:rsidRPr="00E07772">
        <w:rPr>
          <w:rFonts w:ascii="Calibri" w:hAnsi="Calibri" w:cs="Calibri"/>
          <w:lang w:eastAsia="ko-KR"/>
        </w:rPr>
        <w:t xml:space="preserve">, South Korea put in place policy to lower the number of births. This policy was discontinued in 1996.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7FBB0" w14:textId="2C1BF6E4" w:rsidR="00510BF0" w:rsidRDefault="00F223B9" w:rsidP="006D6B89">
    <w:pPr>
      <w:pStyle w:val="a7"/>
      <w:jc w:val="center"/>
    </w:pPr>
    <w:r>
      <w:rPr>
        <w:noProof/>
      </w:rPr>
      <w:drawing>
        <wp:anchor distT="0" distB="0" distL="114300" distR="114300" simplePos="0" relativeHeight="251662336" behindDoc="0" locked="0" layoutInCell="1" allowOverlap="1" wp14:anchorId="039C7800" wp14:editId="5330A61E">
          <wp:simplePos x="0" y="0"/>
          <wp:positionH relativeFrom="margin">
            <wp:posOffset>3937635</wp:posOffset>
          </wp:positionH>
          <wp:positionV relativeFrom="margin">
            <wp:posOffset>-579755</wp:posOffset>
          </wp:positionV>
          <wp:extent cx="2292985" cy="238125"/>
          <wp:effectExtent l="0" t="0" r="0" b="0"/>
          <wp:wrapSquare wrapText="bothSides"/>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이슈브리프수정2-04.jpg"/>
                  <pic:cNvPicPr/>
                </pic:nvPicPr>
                <pic:blipFill>
                  <a:blip r:embed="rId1">
                    <a:extLst>
                      <a:ext uri="{28A0092B-C50C-407E-A947-70E740481C1C}">
                        <a14:useLocalDpi xmlns:a14="http://schemas.microsoft.com/office/drawing/2010/main" val="0"/>
                      </a:ext>
                    </a:extLst>
                  </a:blip>
                  <a:stretch>
                    <a:fillRect/>
                  </a:stretch>
                </pic:blipFill>
                <pic:spPr>
                  <a:xfrm>
                    <a:off x="0" y="0"/>
                    <a:ext cx="2292985" cy="238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71AE8"/>
    <w:multiLevelType w:val="hybridMultilevel"/>
    <w:tmpl w:val="DCB8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9A4B79"/>
    <w:multiLevelType w:val="hybridMultilevel"/>
    <w:tmpl w:val="0560A9A6"/>
    <w:lvl w:ilvl="0" w:tplc="D6681630">
      <w:start w:val="1"/>
      <w:numFmt w:val="bullet"/>
      <w:lvlText w:val=""/>
      <w:lvlJc w:val="left"/>
      <w:pPr>
        <w:ind w:left="720" w:hanging="360"/>
      </w:pPr>
      <w:rPr>
        <w:rFonts w:ascii="Wingdings" w:hAnsi="Wingdings" w:hint="default"/>
        <w:color w:val="auto"/>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5AB60B2"/>
    <w:multiLevelType w:val="hybridMultilevel"/>
    <w:tmpl w:val="B4665332"/>
    <w:lvl w:ilvl="0" w:tplc="CECAA6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D3"/>
    <w:rsid w:val="000140DD"/>
    <w:rsid w:val="00022A12"/>
    <w:rsid w:val="0003030A"/>
    <w:rsid w:val="00082EF0"/>
    <w:rsid w:val="00090D30"/>
    <w:rsid w:val="000914D2"/>
    <w:rsid w:val="000A3847"/>
    <w:rsid w:val="000B2543"/>
    <w:rsid w:val="000B5E23"/>
    <w:rsid w:val="000C70A5"/>
    <w:rsid w:val="000C773A"/>
    <w:rsid w:val="000D3A22"/>
    <w:rsid w:val="000D5740"/>
    <w:rsid w:val="000D7E7F"/>
    <w:rsid w:val="000F3C9F"/>
    <w:rsid w:val="0011073F"/>
    <w:rsid w:val="001134D3"/>
    <w:rsid w:val="001158D9"/>
    <w:rsid w:val="001320BF"/>
    <w:rsid w:val="001331DE"/>
    <w:rsid w:val="0016107D"/>
    <w:rsid w:val="00190880"/>
    <w:rsid w:val="001A45D0"/>
    <w:rsid w:val="001B0ED5"/>
    <w:rsid w:val="001B401F"/>
    <w:rsid w:val="001D69F0"/>
    <w:rsid w:val="001E050E"/>
    <w:rsid w:val="001F1722"/>
    <w:rsid w:val="00217E4F"/>
    <w:rsid w:val="00226851"/>
    <w:rsid w:val="00244E02"/>
    <w:rsid w:val="00247F76"/>
    <w:rsid w:val="0026740E"/>
    <w:rsid w:val="0027133E"/>
    <w:rsid w:val="002A5AE6"/>
    <w:rsid w:val="002B2869"/>
    <w:rsid w:val="002D1ADB"/>
    <w:rsid w:val="002D6C3D"/>
    <w:rsid w:val="00305687"/>
    <w:rsid w:val="003119CB"/>
    <w:rsid w:val="00323AB1"/>
    <w:rsid w:val="00332FF1"/>
    <w:rsid w:val="0036537F"/>
    <w:rsid w:val="00372879"/>
    <w:rsid w:val="003A715C"/>
    <w:rsid w:val="003B61AE"/>
    <w:rsid w:val="003E193C"/>
    <w:rsid w:val="003E6CD1"/>
    <w:rsid w:val="003E7A13"/>
    <w:rsid w:val="00412DC0"/>
    <w:rsid w:val="004251EC"/>
    <w:rsid w:val="00425821"/>
    <w:rsid w:val="004327D8"/>
    <w:rsid w:val="00444821"/>
    <w:rsid w:val="00456D98"/>
    <w:rsid w:val="00456FC5"/>
    <w:rsid w:val="00481F10"/>
    <w:rsid w:val="00490929"/>
    <w:rsid w:val="004A6360"/>
    <w:rsid w:val="004B5E82"/>
    <w:rsid w:val="004B6A10"/>
    <w:rsid w:val="004D262D"/>
    <w:rsid w:val="004D7F55"/>
    <w:rsid w:val="004F6258"/>
    <w:rsid w:val="00505E5F"/>
    <w:rsid w:val="00510BF0"/>
    <w:rsid w:val="00515003"/>
    <w:rsid w:val="0053522A"/>
    <w:rsid w:val="00550DC5"/>
    <w:rsid w:val="005670BB"/>
    <w:rsid w:val="00573FF8"/>
    <w:rsid w:val="005E1AEE"/>
    <w:rsid w:val="005F2A94"/>
    <w:rsid w:val="00600EEA"/>
    <w:rsid w:val="006117C3"/>
    <w:rsid w:val="00635192"/>
    <w:rsid w:val="006415E5"/>
    <w:rsid w:val="00661752"/>
    <w:rsid w:val="006A7F2B"/>
    <w:rsid w:val="006C4D08"/>
    <w:rsid w:val="006C5BF3"/>
    <w:rsid w:val="006D2684"/>
    <w:rsid w:val="006D6B89"/>
    <w:rsid w:val="00715BCC"/>
    <w:rsid w:val="00765AC9"/>
    <w:rsid w:val="00780605"/>
    <w:rsid w:val="00794542"/>
    <w:rsid w:val="007A5E21"/>
    <w:rsid w:val="007B274E"/>
    <w:rsid w:val="007C7ECD"/>
    <w:rsid w:val="007E5340"/>
    <w:rsid w:val="007F5D58"/>
    <w:rsid w:val="00844ABB"/>
    <w:rsid w:val="00897278"/>
    <w:rsid w:val="008B4D2D"/>
    <w:rsid w:val="008C2A6F"/>
    <w:rsid w:val="008C62C3"/>
    <w:rsid w:val="008D45FA"/>
    <w:rsid w:val="008D5B2E"/>
    <w:rsid w:val="008F6B15"/>
    <w:rsid w:val="00924D5D"/>
    <w:rsid w:val="00973AA6"/>
    <w:rsid w:val="009D3F43"/>
    <w:rsid w:val="009F5C65"/>
    <w:rsid w:val="00A002C5"/>
    <w:rsid w:val="00A06031"/>
    <w:rsid w:val="00A12B49"/>
    <w:rsid w:val="00A1524C"/>
    <w:rsid w:val="00A15D14"/>
    <w:rsid w:val="00A2434B"/>
    <w:rsid w:val="00A25810"/>
    <w:rsid w:val="00A277C8"/>
    <w:rsid w:val="00A314A5"/>
    <w:rsid w:val="00A50BB4"/>
    <w:rsid w:val="00A6445D"/>
    <w:rsid w:val="00AF3F24"/>
    <w:rsid w:val="00B001D6"/>
    <w:rsid w:val="00B10DA0"/>
    <w:rsid w:val="00B21B59"/>
    <w:rsid w:val="00B43FBC"/>
    <w:rsid w:val="00B44F16"/>
    <w:rsid w:val="00B52333"/>
    <w:rsid w:val="00B562DE"/>
    <w:rsid w:val="00B56B79"/>
    <w:rsid w:val="00B6437D"/>
    <w:rsid w:val="00B8036B"/>
    <w:rsid w:val="00B91995"/>
    <w:rsid w:val="00BA0296"/>
    <w:rsid w:val="00BB554E"/>
    <w:rsid w:val="00BC3F15"/>
    <w:rsid w:val="00BC487B"/>
    <w:rsid w:val="00BE38B0"/>
    <w:rsid w:val="00C11667"/>
    <w:rsid w:val="00C32C56"/>
    <w:rsid w:val="00C402C6"/>
    <w:rsid w:val="00C62E3F"/>
    <w:rsid w:val="00CA73DE"/>
    <w:rsid w:val="00CD52A6"/>
    <w:rsid w:val="00D023EF"/>
    <w:rsid w:val="00D1142B"/>
    <w:rsid w:val="00D31241"/>
    <w:rsid w:val="00D31674"/>
    <w:rsid w:val="00D31DEB"/>
    <w:rsid w:val="00D44922"/>
    <w:rsid w:val="00D77ACD"/>
    <w:rsid w:val="00D800D4"/>
    <w:rsid w:val="00D81257"/>
    <w:rsid w:val="00DA7047"/>
    <w:rsid w:val="00DB1943"/>
    <w:rsid w:val="00DD5444"/>
    <w:rsid w:val="00DF4E5A"/>
    <w:rsid w:val="00E160D9"/>
    <w:rsid w:val="00E16A35"/>
    <w:rsid w:val="00E41B97"/>
    <w:rsid w:val="00E5262E"/>
    <w:rsid w:val="00E56E03"/>
    <w:rsid w:val="00E62A65"/>
    <w:rsid w:val="00E722BE"/>
    <w:rsid w:val="00E86245"/>
    <w:rsid w:val="00ED2D3C"/>
    <w:rsid w:val="00F223B9"/>
    <w:rsid w:val="00F239B0"/>
    <w:rsid w:val="00F24818"/>
    <w:rsid w:val="00F31F9E"/>
    <w:rsid w:val="00F62E1E"/>
    <w:rsid w:val="00FD38A3"/>
    <w:rsid w:val="00FD6B3B"/>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A5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rFonts w:eastAsia="Arial"/>
      <w:color w:val="666666"/>
      <w:sz w:val="30"/>
      <w:szCs w:val="30"/>
    </w:rPr>
  </w:style>
  <w:style w:type="paragraph" w:styleId="a5">
    <w:name w:val="Date"/>
    <w:basedOn w:val="a"/>
    <w:next w:val="a"/>
    <w:link w:val="Char"/>
    <w:uiPriority w:val="99"/>
    <w:semiHidden/>
    <w:unhideWhenUsed/>
    <w:rsid w:val="00E41B97"/>
  </w:style>
  <w:style w:type="character" w:customStyle="1" w:styleId="Char">
    <w:name w:val="날짜 Char"/>
    <w:basedOn w:val="a0"/>
    <w:link w:val="a5"/>
    <w:uiPriority w:val="99"/>
    <w:semiHidden/>
    <w:rsid w:val="00E41B97"/>
  </w:style>
  <w:style w:type="paragraph" w:styleId="a6">
    <w:name w:val="Balloon Text"/>
    <w:basedOn w:val="a"/>
    <w:link w:val="Char0"/>
    <w:uiPriority w:val="99"/>
    <w:semiHidden/>
    <w:unhideWhenUsed/>
    <w:rsid w:val="006117C3"/>
    <w:pPr>
      <w:spacing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6117C3"/>
    <w:rPr>
      <w:rFonts w:asciiTheme="majorHAnsi" w:eastAsiaTheme="majorEastAsia" w:hAnsiTheme="majorHAnsi" w:cstheme="majorBidi"/>
      <w:sz w:val="18"/>
      <w:szCs w:val="18"/>
    </w:rPr>
  </w:style>
  <w:style w:type="paragraph" w:styleId="a7">
    <w:name w:val="header"/>
    <w:basedOn w:val="a"/>
    <w:link w:val="Char1"/>
    <w:uiPriority w:val="99"/>
    <w:unhideWhenUsed/>
    <w:rsid w:val="00510BF0"/>
    <w:pPr>
      <w:tabs>
        <w:tab w:val="center" w:pos="4252"/>
        <w:tab w:val="right" w:pos="8504"/>
      </w:tabs>
      <w:snapToGrid w:val="0"/>
    </w:pPr>
  </w:style>
  <w:style w:type="character" w:customStyle="1" w:styleId="Char1">
    <w:name w:val="머리글 Char"/>
    <w:basedOn w:val="a0"/>
    <w:link w:val="a7"/>
    <w:uiPriority w:val="99"/>
    <w:rsid w:val="00510BF0"/>
  </w:style>
  <w:style w:type="paragraph" w:styleId="a8">
    <w:name w:val="footer"/>
    <w:basedOn w:val="a"/>
    <w:link w:val="Char2"/>
    <w:uiPriority w:val="99"/>
    <w:unhideWhenUsed/>
    <w:rsid w:val="00510BF0"/>
    <w:pPr>
      <w:tabs>
        <w:tab w:val="center" w:pos="4252"/>
        <w:tab w:val="right" w:pos="8504"/>
      </w:tabs>
      <w:snapToGrid w:val="0"/>
    </w:pPr>
  </w:style>
  <w:style w:type="character" w:customStyle="1" w:styleId="Char2">
    <w:name w:val="바닥글 Char"/>
    <w:basedOn w:val="a0"/>
    <w:link w:val="a8"/>
    <w:uiPriority w:val="99"/>
    <w:rsid w:val="00510BF0"/>
  </w:style>
  <w:style w:type="table" w:styleId="a9">
    <w:name w:val="Table Grid"/>
    <w:basedOn w:val="a1"/>
    <w:uiPriority w:val="59"/>
    <w:rsid w:val="004B6A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Char3"/>
    <w:uiPriority w:val="99"/>
    <w:semiHidden/>
    <w:unhideWhenUsed/>
    <w:rsid w:val="00E160D9"/>
    <w:pPr>
      <w:snapToGrid w:val="0"/>
    </w:pPr>
  </w:style>
  <w:style w:type="character" w:customStyle="1" w:styleId="Char3">
    <w:name w:val="미주 텍스트 Char"/>
    <w:basedOn w:val="a0"/>
    <w:link w:val="aa"/>
    <w:uiPriority w:val="99"/>
    <w:semiHidden/>
    <w:rsid w:val="00E160D9"/>
  </w:style>
  <w:style w:type="character" w:styleId="ab">
    <w:name w:val="endnote reference"/>
    <w:basedOn w:val="a0"/>
    <w:uiPriority w:val="99"/>
    <w:semiHidden/>
    <w:unhideWhenUsed/>
    <w:rsid w:val="00E160D9"/>
    <w:rPr>
      <w:vertAlign w:val="superscript"/>
    </w:rPr>
  </w:style>
  <w:style w:type="paragraph" w:customStyle="1" w:styleId="ac">
    <w:name w:val="각주"/>
    <w:basedOn w:val="a"/>
    <w:rsid w:val="00E160D9"/>
    <w:pPr>
      <w:widowControl w:val="0"/>
      <w:wordWrap w:val="0"/>
      <w:autoSpaceDE w:val="0"/>
      <w:autoSpaceDN w:val="0"/>
      <w:spacing w:line="312" w:lineRule="auto"/>
      <w:ind w:left="524" w:hanging="262"/>
      <w:jc w:val="both"/>
      <w:textAlignment w:val="baseline"/>
    </w:pPr>
    <w:rPr>
      <w:rFonts w:ascii="굴림" w:eastAsia="굴림" w:hAnsi="굴림" w:cs="굴림"/>
      <w:sz w:val="18"/>
      <w:szCs w:val="18"/>
    </w:rPr>
  </w:style>
  <w:style w:type="paragraph" w:styleId="ad">
    <w:name w:val="List Paragraph"/>
    <w:basedOn w:val="a"/>
    <w:uiPriority w:val="34"/>
    <w:qFormat/>
    <w:rsid w:val="003E193C"/>
    <w:pPr>
      <w:widowControl w:val="0"/>
      <w:wordWrap w:val="0"/>
      <w:autoSpaceDE w:val="0"/>
      <w:autoSpaceDN w:val="0"/>
      <w:spacing w:after="200"/>
      <w:ind w:leftChars="400" w:left="800"/>
      <w:jc w:val="both"/>
    </w:pPr>
    <w:rPr>
      <w:rFonts w:asciiTheme="minorHAnsi" w:hAnsiTheme="minorHAnsi" w:cstheme="minorBidi"/>
      <w:color w:val="auto"/>
      <w:kern w:val="2"/>
      <w:sz w:val="20"/>
    </w:rPr>
  </w:style>
  <w:style w:type="character" w:styleId="ae">
    <w:name w:val="Hyperlink"/>
    <w:basedOn w:val="a0"/>
    <w:uiPriority w:val="99"/>
    <w:unhideWhenUsed/>
    <w:rsid w:val="003E193C"/>
    <w:rPr>
      <w:color w:val="0563C1" w:themeColor="hyperlink"/>
      <w:u w:val="single"/>
    </w:rPr>
  </w:style>
  <w:style w:type="paragraph" w:styleId="af">
    <w:name w:val="footnote text"/>
    <w:basedOn w:val="a"/>
    <w:link w:val="Char4"/>
    <w:uiPriority w:val="99"/>
    <w:unhideWhenUsed/>
    <w:rsid w:val="003E193C"/>
    <w:pPr>
      <w:spacing w:line="240" w:lineRule="auto"/>
    </w:pPr>
    <w:rPr>
      <w:rFonts w:asciiTheme="minorHAnsi" w:hAnsiTheme="minorHAnsi" w:cstheme="minorBidi"/>
      <w:color w:val="auto"/>
      <w:sz w:val="20"/>
      <w:szCs w:val="20"/>
      <w:lang w:eastAsia="en-US"/>
    </w:rPr>
  </w:style>
  <w:style w:type="character" w:customStyle="1" w:styleId="Char4">
    <w:name w:val="각주 텍스트 Char"/>
    <w:basedOn w:val="a0"/>
    <w:link w:val="af"/>
    <w:uiPriority w:val="99"/>
    <w:rsid w:val="003E193C"/>
    <w:rPr>
      <w:rFonts w:asciiTheme="minorHAnsi" w:hAnsiTheme="minorHAnsi" w:cstheme="minorBidi"/>
      <w:color w:val="auto"/>
      <w:sz w:val="20"/>
      <w:szCs w:val="20"/>
      <w:lang w:eastAsia="en-US"/>
    </w:rPr>
  </w:style>
  <w:style w:type="character" w:styleId="af0">
    <w:name w:val="footnote reference"/>
    <w:basedOn w:val="a0"/>
    <w:uiPriority w:val="99"/>
    <w:semiHidden/>
    <w:unhideWhenUsed/>
    <w:rsid w:val="003E193C"/>
    <w:rPr>
      <w:vertAlign w:val="superscript"/>
    </w:rPr>
  </w:style>
  <w:style w:type="character" w:styleId="HTML">
    <w:name w:val="HTML Cite"/>
    <w:basedOn w:val="a0"/>
    <w:uiPriority w:val="99"/>
    <w:semiHidden/>
    <w:unhideWhenUsed/>
    <w:rsid w:val="003E193C"/>
    <w:rPr>
      <w:i/>
      <w:iCs/>
    </w:rPr>
  </w:style>
  <w:style w:type="table" w:customStyle="1" w:styleId="10">
    <w:name w:val="표 구분선1"/>
    <w:basedOn w:val="a1"/>
    <w:next w:val="a9"/>
    <w:uiPriority w:val="59"/>
    <w:rsid w:val="003E193C"/>
    <w:pPr>
      <w:spacing w:line="240" w:lineRule="auto"/>
      <w:jc w:val="both"/>
    </w:pPr>
    <w:rPr>
      <w:rFonts w:ascii="맑은 고딕" w:hAnsi="맑은 고딕" w:cs="Times New Roman"/>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2D1ADB"/>
    <w:rPr>
      <w:b/>
      <w:bCs/>
      <w:i w:val="0"/>
      <w:iCs w:val="0"/>
    </w:rPr>
  </w:style>
  <w:style w:type="paragraph" w:styleId="af2">
    <w:name w:val="Normal (Web)"/>
    <w:basedOn w:val="a"/>
    <w:uiPriority w:val="99"/>
    <w:semiHidden/>
    <w:unhideWhenUsed/>
    <w:rsid w:val="00082EF0"/>
    <w:pPr>
      <w:spacing w:before="100" w:beforeAutospacing="1" w:after="100" w:afterAutospacing="1" w:line="240" w:lineRule="auto"/>
    </w:pPr>
    <w:rPr>
      <w:rFonts w:ascii="굴림" w:eastAsia="굴림" w:hAnsi="굴림" w:cs="굴림"/>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contextualSpacing/>
      <w:outlineLvl w:val="0"/>
    </w:pPr>
    <w:rPr>
      <w:sz w:val="40"/>
      <w:szCs w:val="40"/>
    </w:rPr>
  </w:style>
  <w:style w:type="paragraph" w:styleId="2">
    <w:name w:val="heading 2"/>
    <w:basedOn w:val="a"/>
    <w:next w:val="a"/>
    <w:pPr>
      <w:keepNext/>
      <w:keepLines/>
      <w:spacing w:before="360" w:after="120"/>
      <w:contextualSpacing/>
      <w:outlineLvl w:val="1"/>
    </w:pPr>
    <w:rPr>
      <w:sz w:val="32"/>
      <w:szCs w:val="32"/>
    </w:rPr>
  </w:style>
  <w:style w:type="paragraph" w:styleId="3">
    <w:name w:val="heading 3"/>
    <w:basedOn w:val="a"/>
    <w:next w:val="a"/>
    <w:pPr>
      <w:keepNext/>
      <w:keepLines/>
      <w:spacing w:before="320" w:after="80"/>
      <w:contextualSpacing/>
      <w:outlineLvl w:val="2"/>
    </w:pPr>
    <w:rPr>
      <w:color w:val="434343"/>
      <w:sz w:val="28"/>
      <w:szCs w:val="28"/>
    </w:rPr>
  </w:style>
  <w:style w:type="paragraph" w:styleId="4">
    <w:name w:val="heading 4"/>
    <w:basedOn w:val="a"/>
    <w:next w:val="a"/>
    <w:pPr>
      <w:keepNext/>
      <w:keepLines/>
      <w:spacing w:before="280" w:after="80"/>
      <w:contextualSpacing/>
      <w:outlineLvl w:val="3"/>
    </w:pPr>
    <w:rPr>
      <w:color w:val="666666"/>
      <w:sz w:val="24"/>
      <w:szCs w:val="24"/>
    </w:rPr>
  </w:style>
  <w:style w:type="paragraph" w:styleId="5">
    <w:name w:val="heading 5"/>
    <w:basedOn w:val="a"/>
    <w:next w:val="a"/>
    <w:pPr>
      <w:keepNext/>
      <w:keepLines/>
      <w:spacing w:before="240" w:after="80"/>
      <w:contextualSpacing/>
      <w:outlineLvl w:val="4"/>
    </w:pPr>
    <w:rPr>
      <w:color w:val="666666"/>
    </w:rPr>
  </w:style>
  <w:style w:type="paragraph" w:styleId="6">
    <w:name w:val="heading 6"/>
    <w:basedOn w:val="a"/>
    <w:next w:val="a"/>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after="60"/>
      <w:contextualSpacing/>
    </w:pPr>
    <w:rPr>
      <w:sz w:val="52"/>
      <w:szCs w:val="52"/>
    </w:rPr>
  </w:style>
  <w:style w:type="paragraph" w:styleId="a4">
    <w:name w:val="Subtitle"/>
    <w:basedOn w:val="a"/>
    <w:next w:val="a"/>
    <w:pPr>
      <w:keepNext/>
      <w:keepLines/>
      <w:spacing w:after="320"/>
      <w:contextualSpacing/>
    </w:pPr>
    <w:rPr>
      <w:rFonts w:eastAsia="Arial"/>
      <w:color w:val="666666"/>
      <w:sz w:val="30"/>
      <w:szCs w:val="30"/>
    </w:rPr>
  </w:style>
  <w:style w:type="paragraph" w:styleId="a5">
    <w:name w:val="Date"/>
    <w:basedOn w:val="a"/>
    <w:next w:val="a"/>
    <w:link w:val="Char"/>
    <w:uiPriority w:val="99"/>
    <w:semiHidden/>
    <w:unhideWhenUsed/>
    <w:rsid w:val="00E41B97"/>
  </w:style>
  <w:style w:type="character" w:customStyle="1" w:styleId="Char">
    <w:name w:val="날짜 Char"/>
    <w:basedOn w:val="a0"/>
    <w:link w:val="a5"/>
    <w:uiPriority w:val="99"/>
    <w:semiHidden/>
    <w:rsid w:val="00E41B97"/>
  </w:style>
  <w:style w:type="paragraph" w:styleId="a6">
    <w:name w:val="Balloon Text"/>
    <w:basedOn w:val="a"/>
    <w:link w:val="Char0"/>
    <w:uiPriority w:val="99"/>
    <w:semiHidden/>
    <w:unhideWhenUsed/>
    <w:rsid w:val="006117C3"/>
    <w:pPr>
      <w:spacing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6117C3"/>
    <w:rPr>
      <w:rFonts w:asciiTheme="majorHAnsi" w:eastAsiaTheme="majorEastAsia" w:hAnsiTheme="majorHAnsi" w:cstheme="majorBidi"/>
      <w:sz w:val="18"/>
      <w:szCs w:val="18"/>
    </w:rPr>
  </w:style>
  <w:style w:type="paragraph" w:styleId="a7">
    <w:name w:val="header"/>
    <w:basedOn w:val="a"/>
    <w:link w:val="Char1"/>
    <w:uiPriority w:val="99"/>
    <w:unhideWhenUsed/>
    <w:rsid w:val="00510BF0"/>
    <w:pPr>
      <w:tabs>
        <w:tab w:val="center" w:pos="4252"/>
        <w:tab w:val="right" w:pos="8504"/>
      </w:tabs>
      <w:snapToGrid w:val="0"/>
    </w:pPr>
  </w:style>
  <w:style w:type="character" w:customStyle="1" w:styleId="Char1">
    <w:name w:val="머리글 Char"/>
    <w:basedOn w:val="a0"/>
    <w:link w:val="a7"/>
    <w:uiPriority w:val="99"/>
    <w:rsid w:val="00510BF0"/>
  </w:style>
  <w:style w:type="paragraph" w:styleId="a8">
    <w:name w:val="footer"/>
    <w:basedOn w:val="a"/>
    <w:link w:val="Char2"/>
    <w:uiPriority w:val="99"/>
    <w:unhideWhenUsed/>
    <w:rsid w:val="00510BF0"/>
    <w:pPr>
      <w:tabs>
        <w:tab w:val="center" w:pos="4252"/>
        <w:tab w:val="right" w:pos="8504"/>
      </w:tabs>
      <w:snapToGrid w:val="0"/>
    </w:pPr>
  </w:style>
  <w:style w:type="character" w:customStyle="1" w:styleId="Char2">
    <w:name w:val="바닥글 Char"/>
    <w:basedOn w:val="a0"/>
    <w:link w:val="a8"/>
    <w:uiPriority w:val="99"/>
    <w:rsid w:val="00510BF0"/>
  </w:style>
  <w:style w:type="table" w:styleId="a9">
    <w:name w:val="Table Grid"/>
    <w:basedOn w:val="a1"/>
    <w:uiPriority w:val="59"/>
    <w:rsid w:val="004B6A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endnote text"/>
    <w:basedOn w:val="a"/>
    <w:link w:val="Char3"/>
    <w:uiPriority w:val="99"/>
    <w:semiHidden/>
    <w:unhideWhenUsed/>
    <w:rsid w:val="00E160D9"/>
    <w:pPr>
      <w:snapToGrid w:val="0"/>
    </w:pPr>
  </w:style>
  <w:style w:type="character" w:customStyle="1" w:styleId="Char3">
    <w:name w:val="미주 텍스트 Char"/>
    <w:basedOn w:val="a0"/>
    <w:link w:val="aa"/>
    <w:uiPriority w:val="99"/>
    <w:semiHidden/>
    <w:rsid w:val="00E160D9"/>
  </w:style>
  <w:style w:type="character" w:styleId="ab">
    <w:name w:val="endnote reference"/>
    <w:basedOn w:val="a0"/>
    <w:uiPriority w:val="99"/>
    <w:semiHidden/>
    <w:unhideWhenUsed/>
    <w:rsid w:val="00E160D9"/>
    <w:rPr>
      <w:vertAlign w:val="superscript"/>
    </w:rPr>
  </w:style>
  <w:style w:type="paragraph" w:customStyle="1" w:styleId="ac">
    <w:name w:val="각주"/>
    <w:basedOn w:val="a"/>
    <w:rsid w:val="00E160D9"/>
    <w:pPr>
      <w:widowControl w:val="0"/>
      <w:wordWrap w:val="0"/>
      <w:autoSpaceDE w:val="0"/>
      <w:autoSpaceDN w:val="0"/>
      <w:spacing w:line="312" w:lineRule="auto"/>
      <w:ind w:left="524" w:hanging="262"/>
      <w:jc w:val="both"/>
      <w:textAlignment w:val="baseline"/>
    </w:pPr>
    <w:rPr>
      <w:rFonts w:ascii="굴림" w:eastAsia="굴림" w:hAnsi="굴림" w:cs="굴림"/>
      <w:sz w:val="18"/>
      <w:szCs w:val="18"/>
    </w:rPr>
  </w:style>
  <w:style w:type="paragraph" w:styleId="ad">
    <w:name w:val="List Paragraph"/>
    <w:basedOn w:val="a"/>
    <w:uiPriority w:val="34"/>
    <w:qFormat/>
    <w:rsid w:val="003E193C"/>
    <w:pPr>
      <w:widowControl w:val="0"/>
      <w:wordWrap w:val="0"/>
      <w:autoSpaceDE w:val="0"/>
      <w:autoSpaceDN w:val="0"/>
      <w:spacing w:after="200"/>
      <w:ind w:leftChars="400" w:left="800"/>
      <w:jc w:val="both"/>
    </w:pPr>
    <w:rPr>
      <w:rFonts w:asciiTheme="minorHAnsi" w:hAnsiTheme="minorHAnsi" w:cstheme="minorBidi"/>
      <w:color w:val="auto"/>
      <w:kern w:val="2"/>
      <w:sz w:val="20"/>
    </w:rPr>
  </w:style>
  <w:style w:type="character" w:styleId="ae">
    <w:name w:val="Hyperlink"/>
    <w:basedOn w:val="a0"/>
    <w:uiPriority w:val="99"/>
    <w:unhideWhenUsed/>
    <w:rsid w:val="003E193C"/>
    <w:rPr>
      <w:color w:val="0563C1" w:themeColor="hyperlink"/>
      <w:u w:val="single"/>
    </w:rPr>
  </w:style>
  <w:style w:type="paragraph" w:styleId="af">
    <w:name w:val="footnote text"/>
    <w:basedOn w:val="a"/>
    <w:link w:val="Char4"/>
    <w:uiPriority w:val="99"/>
    <w:unhideWhenUsed/>
    <w:rsid w:val="003E193C"/>
    <w:pPr>
      <w:spacing w:line="240" w:lineRule="auto"/>
    </w:pPr>
    <w:rPr>
      <w:rFonts w:asciiTheme="minorHAnsi" w:hAnsiTheme="minorHAnsi" w:cstheme="minorBidi"/>
      <w:color w:val="auto"/>
      <w:sz w:val="20"/>
      <w:szCs w:val="20"/>
      <w:lang w:eastAsia="en-US"/>
    </w:rPr>
  </w:style>
  <w:style w:type="character" w:customStyle="1" w:styleId="Char4">
    <w:name w:val="각주 텍스트 Char"/>
    <w:basedOn w:val="a0"/>
    <w:link w:val="af"/>
    <w:uiPriority w:val="99"/>
    <w:rsid w:val="003E193C"/>
    <w:rPr>
      <w:rFonts w:asciiTheme="minorHAnsi" w:hAnsiTheme="minorHAnsi" w:cstheme="minorBidi"/>
      <w:color w:val="auto"/>
      <w:sz w:val="20"/>
      <w:szCs w:val="20"/>
      <w:lang w:eastAsia="en-US"/>
    </w:rPr>
  </w:style>
  <w:style w:type="character" w:styleId="af0">
    <w:name w:val="footnote reference"/>
    <w:basedOn w:val="a0"/>
    <w:uiPriority w:val="99"/>
    <w:semiHidden/>
    <w:unhideWhenUsed/>
    <w:rsid w:val="003E193C"/>
    <w:rPr>
      <w:vertAlign w:val="superscript"/>
    </w:rPr>
  </w:style>
  <w:style w:type="character" w:styleId="HTML">
    <w:name w:val="HTML Cite"/>
    <w:basedOn w:val="a0"/>
    <w:uiPriority w:val="99"/>
    <w:semiHidden/>
    <w:unhideWhenUsed/>
    <w:rsid w:val="003E193C"/>
    <w:rPr>
      <w:i/>
      <w:iCs/>
    </w:rPr>
  </w:style>
  <w:style w:type="table" w:customStyle="1" w:styleId="10">
    <w:name w:val="표 구분선1"/>
    <w:basedOn w:val="a1"/>
    <w:next w:val="a9"/>
    <w:uiPriority w:val="59"/>
    <w:rsid w:val="003E193C"/>
    <w:pPr>
      <w:spacing w:line="240" w:lineRule="auto"/>
      <w:jc w:val="both"/>
    </w:pPr>
    <w:rPr>
      <w:rFonts w:ascii="맑은 고딕" w:hAnsi="맑은 고딕" w:cs="Times New Roman"/>
      <w:color w:val="auto"/>
      <w:kern w:val="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2D1ADB"/>
    <w:rPr>
      <w:b/>
      <w:bCs/>
      <w:i w:val="0"/>
      <w:iCs w:val="0"/>
    </w:rPr>
  </w:style>
  <w:style w:type="paragraph" w:styleId="af2">
    <w:name w:val="Normal (Web)"/>
    <w:basedOn w:val="a"/>
    <w:uiPriority w:val="99"/>
    <w:semiHidden/>
    <w:unhideWhenUsed/>
    <w:rsid w:val="00082EF0"/>
    <w:pPr>
      <w:spacing w:before="100" w:beforeAutospacing="1" w:after="100" w:afterAutospacing="1" w:line="240" w:lineRule="auto"/>
    </w:pPr>
    <w:rPr>
      <w:rFonts w:ascii="굴림" w:eastAsia="굴림" w:hAnsi="굴림" w:cs="굴림"/>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257349">
      <w:bodyDiv w:val="1"/>
      <w:marLeft w:val="0"/>
      <w:marRight w:val="0"/>
      <w:marTop w:val="0"/>
      <w:marBottom w:val="0"/>
      <w:divBdr>
        <w:top w:val="none" w:sz="0" w:space="0" w:color="auto"/>
        <w:left w:val="none" w:sz="0" w:space="0" w:color="auto"/>
        <w:bottom w:val="none" w:sz="0" w:space="0" w:color="auto"/>
        <w:right w:val="none" w:sz="0" w:space="0" w:color="auto"/>
      </w:divBdr>
    </w:div>
    <w:div w:id="1436706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8.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10.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oleObject" Target="https://ijpr.sharepoint.com/Shared%20Documents/Old_Data/Daniel/KOREA/TFR_HFD.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1212121212121212121212.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https://ijpr.sharepoint.com/Shared%20Documents/Old_Data/Daniel/KOREA/ASFR_South%20Korea_v4_D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ijpr.sharepoint.com/Shared%20Documents/Old_Data/Daniel/KOREA/ASFR_South%20Korea_v4_D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https://ijpr.sharepoint.com/Shared%20Documents/Old_Data/Daniel/KOREA/ASFR_South%20Korea_v4_D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ijpr.sharepoint.com/Shared%20Documents/Old_Data/Daniel/KOREA/ASFR_South%20Korea_v4_D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com\Desktop\KOSIS\JPR\ASFR_South%20Korea_v9.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11111111111111111111111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com\Desktop\KOSIS\JPR\ASFR_South%20Korea_v1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om\Desktop\KOSIS\JPR\ASFR_South%20Korea_v1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3014708122678"/>
          <c:y val="5.1753985927509599E-2"/>
          <c:w val="0.82928330591598587"/>
          <c:h val="0.62652755344684485"/>
        </c:manualLayout>
      </c:layout>
      <c:lineChart>
        <c:grouping val="standard"/>
        <c:varyColors val="0"/>
        <c:ser>
          <c:idx val="0"/>
          <c:order val="0"/>
          <c:tx>
            <c:strRef>
              <c:f>'[TFR_HFD.xlsx]Korean graph'!$B$1</c:f>
              <c:strCache>
                <c:ptCount val="1"/>
                <c:pt idx="0">
                  <c:v>Germany</c:v>
                </c:pt>
              </c:strCache>
            </c:strRef>
          </c:tx>
          <c:spPr>
            <a:ln w="28575" cap="rnd">
              <a:solidFill>
                <a:srgbClr val="FFC000"/>
              </a:solidFill>
              <a:round/>
            </a:ln>
            <a:effectLst/>
          </c:spPr>
          <c:marker>
            <c:symbol val="none"/>
          </c:marker>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graph'!$B$2:$B$57</c:f>
              <c:numCache>
                <c:formatCode>0.000;0.000;.</c:formatCode>
                <c:ptCount val="56"/>
                <c:pt idx="0">
                  <c:v>2.3679999999999999</c:v>
                </c:pt>
                <c:pt idx="1">
                  <c:v>2.444</c:v>
                </c:pt>
                <c:pt idx="2">
                  <c:v>2.44</c:v>
                </c:pt>
                <c:pt idx="3">
                  <c:v>2.512</c:v>
                </c:pt>
                <c:pt idx="4">
                  <c:v>2.5350000000000001</c:v>
                </c:pt>
                <c:pt idx="5">
                  <c:v>2.5009999999999999</c:v>
                </c:pt>
                <c:pt idx="6">
                  <c:v>2.5070000000000001</c:v>
                </c:pt>
                <c:pt idx="7">
                  <c:v>2.4500000000000002</c:v>
                </c:pt>
                <c:pt idx="8">
                  <c:v>2.36</c:v>
                </c:pt>
                <c:pt idx="9">
                  <c:v>2.2109999999999999</c:v>
                </c:pt>
                <c:pt idx="10">
                  <c:v>2.0289999999999999</c:v>
                </c:pt>
                <c:pt idx="11">
                  <c:v>1.9650000000000001</c:v>
                </c:pt>
                <c:pt idx="12">
                  <c:v>1.734</c:v>
                </c:pt>
                <c:pt idx="13">
                  <c:v>1.556</c:v>
                </c:pt>
                <c:pt idx="14">
                  <c:v>1.526</c:v>
                </c:pt>
                <c:pt idx="15">
                  <c:v>1.48</c:v>
                </c:pt>
                <c:pt idx="16">
                  <c:v>1.5069999999999999</c:v>
                </c:pt>
                <c:pt idx="17">
                  <c:v>1.51</c:v>
                </c:pt>
                <c:pt idx="18">
                  <c:v>1.5009999999999999</c:v>
                </c:pt>
                <c:pt idx="19">
                  <c:v>1.498</c:v>
                </c:pt>
                <c:pt idx="20">
                  <c:v>1.5609999999999999</c:v>
                </c:pt>
                <c:pt idx="21">
                  <c:v>1.5289999999999999</c:v>
                </c:pt>
                <c:pt idx="22">
                  <c:v>1.506</c:v>
                </c:pt>
                <c:pt idx="23">
                  <c:v>1.429</c:v>
                </c:pt>
                <c:pt idx="24">
                  <c:v>1.387</c:v>
                </c:pt>
                <c:pt idx="25">
                  <c:v>1.3740000000000001</c:v>
                </c:pt>
                <c:pt idx="26">
                  <c:v>1.4139999999999999</c:v>
                </c:pt>
                <c:pt idx="27">
                  <c:v>1.4339999999999999</c:v>
                </c:pt>
                <c:pt idx="28">
                  <c:v>1.462</c:v>
                </c:pt>
                <c:pt idx="29">
                  <c:v>1.423</c:v>
                </c:pt>
                <c:pt idx="30">
                  <c:v>1.4550000000000001</c:v>
                </c:pt>
                <c:pt idx="31">
                  <c:v>1.3340000000000001</c:v>
                </c:pt>
                <c:pt idx="32">
                  <c:v>1.3</c:v>
                </c:pt>
                <c:pt idx="33">
                  <c:v>1.284</c:v>
                </c:pt>
                <c:pt idx="34">
                  <c:v>1.2490000000000001</c:v>
                </c:pt>
                <c:pt idx="35">
                  <c:v>1.2569999999999999</c:v>
                </c:pt>
                <c:pt idx="36">
                  <c:v>1.329</c:v>
                </c:pt>
                <c:pt idx="37">
                  <c:v>1.381</c:v>
                </c:pt>
                <c:pt idx="38">
                  <c:v>1.3680000000000001</c:v>
                </c:pt>
                <c:pt idx="39">
                  <c:v>1.3759999999999999</c:v>
                </c:pt>
                <c:pt idx="40">
                  <c:v>1.4</c:v>
                </c:pt>
                <c:pt idx="41">
                  <c:v>1.367</c:v>
                </c:pt>
                <c:pt idx="42">
                  <c:v>1.3620000000000001</c:v>
                </c:pt>
                <c:pt idx="43">
                  <c:v>1.3620000000000001</c:v>
                </c:pt>
                <c:pt idx="44">
                  <c:v>1.3819999999999999</c:v>
                </c:pt>
                <c:pt idx="45">
                  <c:v>1.3640000000000001</c:v>
                </c:pt>
                <c:pt idx="46">
                  <c:v>1.357</c:v>
                </c:pt>
                <c:pt idx="47">
                  <c:v>1.399</c:v>
                </c:pt>
                <c:pt idx="48">
                  <c:v>1.409</c:v>
                </c:pt>
                <c:pt idx="49">
                  <c:v>1.385</c:v>
                </c:pt>
                <c:pt idx="50">
                  <c:v>1.42</c:v>
                </c:pt>
                <c:pt idx="51">
                  <c:v>1.391</c:v>
                </c:pt>
                <c:pt idx="52">
                  <c:v>1.41</c:v>
                </c:pt>
                <c:pt idx="53">
                  <c:v>1.42</c:v>
                </c:pt>
              </c:numCache>
            </c:numRef>
          </c:val>
          <c:smooth val="0"/>
          <c:extLst xmlns:c16r2="http://schemas.microsoft.com/office/drawing/2015/06/chart">
            <c:ext xmlns:c16="http://schemas.microsoft.com/office/drawing/2014/chart" uri="{C3380CC4-5D6E-409C-BE32-E72D297353CC}">
              <c16:uniqueId val="{00000000-7B99-47B9-83D1-8C2592F8F3DB}"/>
            </c:ext>
          </c:extLst>
        </c:ser>
        <c:ser>
          <c:idx val="1"/>
          <c:order val="1"/>
          <c:tx>
            <c:strRef>
              <c:f>'[TFR_HFD.xlsx]Korean graph'!$C$1</c:f>
              <c:strCache>
                <c:ptCount val="1"/>
                <c:pt idx="0">
                  <c:v>Italy</c:v>
                </c:pt>
              </c:strCache>
            </c:strRef>
          </c:tx>
          <c:spPr>
            <a:ln w="28575" cap="rnd">
              <a:solidFill>
                <a:schemeClr val="accent2"/>
              </a:solidFill>
              <a:round/>
            </a:ln>
            <a:effectLst/>
          </c:spPr>
          <c:marker>
            <c:symbol val="none"/>
          </c:marker>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graph'!$C$2:$C$57</c:f>
              <c:numCache>
                <c:formatCode>0.000;0.000;.</c:formatCode>
                <c:ptCount val="56"/>
                <c:pt idx="0">
                  <c:v>2.44</c:v>
                </c:pt>
                <c:pt idx="1">
                  <c:v>2.4449999999999998</c:v>
                </c:pt>
                <c:pt idx="2">
                  <c:v>2.5019999999999998</c:v>
                </c:pt>
                <c:pt idx="3">
                  <c:v>2.5870000000000002</c:v>
                </c:pt>
                <c:pt idx="4">
                  <c:v>2.742</c:v>
                </c:pt>
                <c:pt idx="5">
                  <c:v>2.7029999999999998</c:v>
                </c:pt>
                <c:pt idx="6">
                  <c:v>2.6589999999999998</c:v>
                </c:pt>
                <c:pt idx="7">
                  <c:v>2.5649999999999999</c:v>
                </c:pt>
                <c:pt idx="8">
                  <c:v>2.5209999999999999</c:v>
                </c:pt>
                <c:pt idx="9">
                  <c:v>2.5350000000000001</c:v>
                </c:pt>
                <c:pt idx="10">
                  <c:v>2.452</c:v>
                </c:pt>
                <c:pt idx="11">
                  <c:v>2.4359999999999999</c:v>
                </c:pt>
                <c:pt idx="12">
                  <c:v>2.3860000000000001</c:v>
                </c:pt>
                <c:pt idx="13">
                  <c:v>2.3650000000000002</c:v>
                </c:pt>
                <c:pt idx="14">
                  <c:v>2.355</c:v>
                </c:pt>
                <c:pt idx="15">
                  <c:v>2.2290000000000001</c:v>
                </c:pt>
                <c:pt idx="16">
                  <c:v>2.1280000000000001</c:v>
                </c:pt>
                <c:pt idx="17">
                  <c:v>1.9910000000000001</c:v>
                </c:pt>
                <c:pt idx="18">
                  <c:v>1.8859999999999999</c:v>
                </c:pt>
                <c:pt idx="19">
                  <c:v>1.7749999999999999</c:v>
                </c:pt>
                <c:pt idx="20">
                  <c:v>1.696</c:v>
                </c:pt>
                <c:pt idx="21">
                  <c:v>1.5980000000000001</c:v>
                </c:pt>
                <c:pt idx="22">
                  <c:v>1.6020000000000001</c:v>
                </c:pt>
                <c:pt idx="23">
                  <c:v>1.5369999999999999</c:v>
                </c:pt>
                <c:pt idx="24">
                  <c:v>1.484</c:v>
                </c:pt>
                <c:pt idx="25">
                  <c:v>1.4490000000000001</c:v>
                </c:pt>
                <c:pt idx="26">
                  <c:v>1.3720000000000001</c:v>
                </c:pt>
                <c:pt idx="27">
                  <c:v>1.351</c:v>
                </c:pt>
                <c:pt idx="28">
                  <c:v>1.3839999999999999</c:v>
                </c:pt>
                <c:pt idx="29">
                  <c:v>1.347</c:v>
                </c:pt>
                <c:pt idx="30">
                  <c:v>1.359</c:v>
                </c:pt>
                <c:pt idx="31">
                  <c:v>1.323</c:v>
                </c:pt>
                <c:pt idx="32">
                  <c:v>1.3180000000000001</c:v>
                </c:pt>
                <c:pt idx="33">
                  <c:v>1.26</c:v>
                </c:pt>
                <c:pt idx="34">
                  <c:v>1.2190000000000001</c:v>
                </c:pt>
                <c:pt idx="35">
                  <c:v>1.1930000000000001</c:v>
                </c:pt>
                <c:pt idx="36">
                  <c:v>1.2170000000000001</c:v>
                </c:pt>
                <c:pt idx="37">
                  <c:v>1.2270000000000001</c:v>
                </c:pt>
                <c:pt idx="38">
                  <c:v>1.214</c:v>
                </c:pt>
                <c:pt idx="39">
                  <c:v>1.2330000000000001</c:v>
                </c:pt>
                <c:pt idx="40">
                  <c:v>1.256</c:v>
                </c:pt>
                <c:pt idx="41">
                  <c:v>1.2509999999999999</c:v>
                </c:pt>
                <c:pt idx="42">
                  <c:v>1.27</c:v>
                </c:pt>
                <c:pt idx="43">
                  <c:v>1.29</c:v>
                </c:pt>
                <c:pt idx="44">
                  <c:v>1.343</c:v>
                </c:pt>
                <c:pt idx="45">
                  <c:v>1.3380000000000001</c:v>
                </c:pt>
                <c:pt idx="46">
                  <c:v>1.373</c:v>
                </c:pt>
                <c:pt idx="47">
                  <c:v>1.401</c:v>
                </c:pt>
                <c:pt idx="48">
                  <c:v>1.448</c:v>
                </c:pt>
                <c:pt idx="49">
                  <c:v>1.45</c:v>
                </c:pt>
                <c:pt idx="50">
                  <c:v>1.456</c:v>
                </c:pt>
                <c:pt idx="51">
                  <c:v>1.4379999999999999</c:v>
                </c:pt>
                <c:pt idx="52">
                  <c:v>1.429</c:v>
                </c:pt>
              </c:numCache>
            </c:numRef>
          </c:val>
          <c:smooth val="0"/>
          <c:extLst xmlns:c16r2="http://schemas.microsoft.com/office/drawing/2015/06/chart">
            <c:ext xmlns:c16="http://schemas.microsoft.com/office/drawing/2014/chart" uri="{C3380CC4-5D6E-409C-BE32-E72D297353CC}">
              <c16:uniqueId val="{00000001-7B99-47B9-83D1-8C2592F8F3DB}"/>
            </c:ext>
          </c:extLst>
        </c:ser>
        <c:ser>
          <c:idx val="2"/>
          <c:order val="2"/>
          <c:tx>
            <c:strRef>
              <c:f>'[TFR_HFD.xlsx]Korean graph'!$D$1</c:f>
              <c:strCache>
                <c:ptCount val="1"/>
                <c:pt idx="0">
                  <c:v>Japan</c:v>
                </c:pt>
              </c:strCache>
            </c:strRef>
          </c:tx>
          <c:spPr>
            <a:ln w="28575" cap="rnd">
              <a:solidFill>
                <a:schemeClr val="accent3"/>
              </a:solidFill>
              <a:round/>
            </a:ln>
            <a:effectLst/>
          </c:spPr>
          <c:marker>
            <c:symbol val="none"/>
          </c:marker>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graph'!$D$2:$D$57</c:f>
              <c:numCache>
                <c:formatCode>0.000;0.000;.</c:formatCode>
                <c:ptCount val="56"/>
                <c:pt idx="0">
                  <c:v>2.008</c:v>
                </c:pt>
                <c:pt idx="1">
                  <c:v>1.9630000000000001</c:v>
                </c:pt>
                <c:pt idx="2">
                  <c:v>1.974</c:v>
                </c:pt>
                <c:pt idx="3">
                  <c:v>2.0009999999999999</c:v>
                </c:pt>
                <c:pt idx="4">
                  <c:v>2.0449999999999999</c:v>
                </c:pt>
                <c:pt idx="5">
                  <c:v>2.145</c:v>
                </c:pt>
                <c:pt idx="6">
                  <c:v>1.579</c:v>
                </c:pt>
                <c:pt idx="7">
                  <c:v>2.2240000000000002</c:v>
                </c:pt>
                <c:pt idx="8">
                  <c:v>2.1269999999999998</c:v>
                </c:pt>
                <c:pt idx="9">
                  <c:v>2.1190000000000002</c:v>
                </c:pt>
                <c:pt idx="10">
                  <c:v>2.129</c:v>
                </c:pt>
                <c:pt idx="11">
                  <c:v>2.153</c:v>
                </c:pt>
                <c:pt idx="12">
                  <c:v>2.1379999999999999</c:v>
                </c:pt>
                <c:pt idx="13">
                  <c:v>2.1349999999999998</c:v>
                </c:pt>
                <c:pt idx="14">
                  <c:v>2.04</c:v>
                </c:pt>
                <c:pt idx="15">
                  <c:v>1.9</c:v>
                </c:pt>
                <c:pt idx="16">
                  <c:v>1.84</c:v>
                </c:pt>
                <c:pt idx="17">
                  <c:v>1.786</c:v>
                </c:pt>
                <c:pt idx="18">
                  <c:v>1.774</c:v>
                </c:pt>
                <c:pt idx="19">
                  <c:v>1.7509999999999999</c:v>
                </c:pt>
                <c:pt idx="20">
                  <c:v>1.7310000000000001</c:v>
                </c:pt>
                <c:pt idx="21">
                  <c:v>1.726</c:v>
                </c:pt>
                <c:pt idx="22">
                  <c:v>1.7549999999999999</c:v>
                </c:pt>
                <c:pt idx="23">
                  <c:v>1.788</c:v>
                </c:pt>
                <c:pt idx="24">
                  <c:v>1.8</c:v>
                </c:pt>
                <c:pt idx="25">
                  <c:v>1.7569999999999999</c:v>
                </c:pt>
                <c:pt idx="26">
                  <c:v>1.7190000000000001</c:v>
                </c:pt>
                <c:pt idx="27">
                  <c:v>1.6890000000000001</c:v>
                </c:pt>
                <c:pt idx="28">
                  <c:v>1.657</c:v>
                </c:pt>
                <c:pt idx="29">
                  <c:v>1.5760000000000001</c:v>
                </c:pt>
                <c:pt idx="30">
                  <c:v>1.5429999999999999</c:v>
                </c:pt>
                <c:pt idx="31">
                  <c:v>1.5369999999999999</c:v>
                </c:pt>
                <c:pt idx="32">
                  <c:v>1.506</c:v>
                </c:pt>
                <c:pt idx="33">
                  <c:v>1.464</c:v>
                </c:pt>
                <c:pt idx="34">
                  <c:v>1.5069999999999999</c:v>
                </c:pt>
                <c:pt idx="35">
                  <c:v>1.4259999999999999</c:v>
                </c:pt>
                <c:pt idx="36">
                  <c:v>1.43</c:v>
                </c:pt>
                <c:pt idx="37">
                  <c:v>1.3919999999999999</c:v>
                </c:pt>
                <c:pt idx="38">
                  <c:v>1.3879999999999999</c:v>
                </c:pt>
                <c:pt idx="39">
                  <c:v>1.347</c:v>
                </c:pt>
                <c:pt idx="40">
                  <c:v>1.3580000000000001</c:v>
                </c:pt>
                <c:pt idx="41">
                  <c:v>1.3360000000000001</c:v>
                </c:pt>
                <c:pt idx="42">
                  <c:v>1.3180000000000001</c:v>
                </c:pt>
                <c:pt idx="43">
                  <c:v>1.29</c:v>
                </c:pt>
                <c:pt idx="44">
                  <c:v>1.2869999999999999</c:v>
                </c:pt>
                <c:pt idx="45">
                  <c:v>1.2470000000000001</c:v>
                </c:pt>
                <c:pt idx="46">
                  <c:v>1.3009999999999999</c:v>
                </c:pt>
                <c:pt idx="47">
                  <c:v>1.319</c:v>
                </c:pt>
                <c:pt idx="48">
                  <c:v>1.347</c:v>
                </c:pt>
                <c:pt idx="49">
                  <c:v>1.3480000000000001</c:v>
                </c:pt>
                <c:pt idx="50">
                  <c:v>1.379</c:v>
                </c:pt>
                <c:pt idx="51">
                  <c:v>1.3839999999999999</c:v>
                </c:pt>
                <c:pt idx="52">
                  <c:v>1.3959999999999999</c:v>
                </c:pt>
              </c:numCache>
            </c:numRef>
          </c:val>
          <c:smooth val="0"/>
          <c:extLst xmlns:c16r2="http://schemas.microsoft.com/office/drawing/2015/06/chart">
            <c:ext xmlns:c16="http://schemas.microsoft.com/office/drawing/2014/chart" uri="{C3380CC4-5D6E-409C-BE32-E72D297353CC}">
              <c16:uniqueId val="{00000002-7B99-47B9-83D1-8C2592F8F3DB}"/>
            </c:ext>
          </c:extLst>
        </c:ser>
        <c:ser>
          <c:idx val="3"/>
          <c:order val="3"/>
          <c:tx>
            <c:strRef>
              <c:f>'[TFR_HFD.xlsx]Korean graph'!$E$1</c:f>
              <c:strCache>
                <c:ptCount val="1"/>
                <c:pt idx="0">
                  <c:v>Russia</c:v>
                </c:pt>
              </c:strCache>
            </c:strRef>
          </c:tx>
          <c:spPr>
            <a:ln w="28575" cap="rnd">
              <a:solidFill>
                <a:schemeClr val="accent4"/>
              </a:solidFill>
              <a:round/>
            </a:ln>
            <a:effectLst/>
          </c:spPr>
          <c:marker>
            <c:symbol val="none"/>
          </c:marker>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graph'!$E$2:$E$57</c:f>
              <c:numCache>
                <c:formatCode>0.000;0.000;.</c:formatCode>
                <c:ptCount val="56"/>
                <c:pt idx="0">
                  <c:v>2.556</c:v>
                </c:pt>
                <c:pt idx="1">
                  <c:v>2.4580000000000002</c:v>
                </c:pt>
                <c:pt idx="2">
                  <c:v>2.34</c:v>
                </c:pt>
                <c:pt idx="3">
                  <c:v>2.2829999999999999</c:v>
                </c:pt>
                <c:pt idx="4">
                  <c:v>2.16</c:v>
                </c:pt>
                <c:pt idx="5">
                  <c:v>2.0870000000000002</c:v>
                </c:pt>
                <c:pt idx="6">
                  <c:v>2.0979999999999999</c:v>
                </c:pt>
                <c:pt idx="7">
                  <c:v>2.0059999999999998</c:v>
                </c:pt>
                <c:pt idx="8">
                  <c:v>1.97</c:v>
                </c:pt>
                <c:pt idx="9">
                  <c:v>1.984</c:v>
                </c:pt>
                <c:pt idx="10">
                  <c:v>1.9950000000000001</c:v>
                </c:pt>
                <c:pt idx="11">
                  <c:v>2.024</c:v>
                </c:pt>
                <c:pt idx="12">
                  <c:v>2.0270000000000001</c:v>
                </c:pt>
                <c:pt idx="13">
                  <c:v>1.962</c:v>
                </c:pt>
                <c:pt idx="14">
                  <c:v>1.9950000000000001</c:v>
                </c:pt>
                <c:pt idx="15">
                  <c:v>1.9710000000000001</c:v>
                </c:pt>
                <c:pt idx="16">
                  <c:v>1.9530000000000001</c:v>
                </c:pt>
                <c:pt idx="17">
                  <c:v>1.9179999999999999</c:v>
                </c:pt>
                <c:pt idx="18">
                  <c:v>1.899</c:v>
                </c:pt>
                <c:pt idx="19">
                  <c:v>1.865</c:v>
                </c:pt>
                <c:pt idx="20">
                  <c:v>1.863</c:v>
                </c:pt>
                <c:pt idx="21">
                  <c:v>1.8819999999999999</c:v>
                </c:pt>
                <c:pt idx="22">
                  <c:v>1.956</c:v>
                </c:pt>
                <c:pt idx="23">
                  <c:v>2.0880000000000001</c:v>
                </c:pt>
                <c:pt idx="24">
                  <c:v>2.0510000000000002</c:v>
                </c:pt>
                <c:pt idx="25">
                  <c:v>2.0510000000000002</c:v>
                </c:pt>
                <c:pt idx="26">
                  <c:v>2.177</c:v>
                </c:pt>
                <c:pt idx="27">
                  <c:v>2.2290000000000001</c:v>
                </c:pt>
                <c:pt idx="28">
                  <c:v>2.1419999999999999</c:v>
                </c:pt>
                <c:pt idx="29">
                  <c:v>2.0179999999999998</c:v>
                </c:pt>
                <c:pt idx="30">
                  <c:v>1.8939999999999999</c:v>
                </c:pt>
                <c:pt idx="31">
                  <c:v>1.7330000000000001</c:v>
                </c:pt>
                <c:pt idx="32">
                  <c:v>1.5489999999999999</c:v>
                </c:pt>
                <c:pt idx="33">
                  <c:v>1.37</c:v>
                </c:pt>
                <c:pt idx="34">
                  <c:v>1.395</c:v>
                </c:pt>
                <c:pt idx="35">
                  <c:v>1.3380000000000001</c:v>
                </c:pt>
                <c:pt idx="36">
                  <c:v>1.2709999999999999</c:v>
                </c:pt>
                <c:pt idx="37">
                  <c:v>1.2190000000000001</c:v>
                </c:pt>
                <c:pt idx="38">
                  <c:v>1.2330000000000001</c:v>
                </c:pt>
                <c:pt idx="39">
                  <c:v>1.1579999999999999</c:v>
                </c:pt>
                <c:pt idx="40">
                  <c:v>1.196</c:v>
                </c:pt>
                <c:pt idx="41">
                  <c:v>1.224</c:v>
                </c:pt>
                <c:pt idx="42">
                  <c:v>1.2869999999999999</c:v>
                </c:pt>
                <c:pt idx="43">
                  <c:v>1.3340000000000001</c:v>
                </c:pt>
                <c:pt idx="44">
                  <c:v>1.345</c:v>
                </c:pt>
                <c:pt idx="45">
                  <c:v>1.294</c:v>
                </c:pt>
                <c:pt idx="46">
                  <c:v>1.3049999999999999</c:v>
                </c:pt>
                <c:pt idx="47">
                  <c:v>1.4159999999999999</c:v>
                </c:pt>
                <c:pt idx="48">
                  <c:v>1.502</c:v>
                </c:pt>
                <c:pt idx="49">
                  <c:v>1.5409999999999999</c:v>
                </c:pt>
                <c:pt idx="50">
                  <c:v>1.5669999999999999</c:v>
                </c:pt>
                <c:pt idx="51">
                  <c:v>1.583</c:v>
                </c:pt>
                <c:pt idx="52">
                  <c:v>1.6919999999999999</c:v>
                </c:pt>
                <c:pt idx="53">
                  <c:v>1.7090000000000001</c:v>
                </c:pt>
                <c:pt idx="54">
                  <c:v>1.752</c:v>
                </c:pt>
              </c:numCache>
            </c:numRef>
          </c:val>
          <c:smooth val="0"/>
          <c:extLst xmlns:c16r2="http://schemas.microsoft.com/office/drawing/2015/06/chart">
            <c:ext xmlns:c16="http://schemas.microsoft.com/office/drawing/2014/chart" uri="{C3380CC4-5D6E-409C-BE32-E72D297353CC}">
              <c16:uniqueId val="{00000003-7B99-47B9-83D1-8C2592F8F3DB}"/>
            </c:ext>
          </c:extLst>
        </c:ser>
        <c:ser>
          <c:idx val="4"/>
          <c:order val="4"/>
          <c:tx>
            <c:strRef>
              <c:f>'[TFR_HFD.xlsx]Korean graph'!$F$1</c:f>
              <c:strCache>
                <c:ptCount val="1"/>
                <c:pt idx="0">
                  <c:v>Taiwan</c:v>
                </c:pt>
              </c:strCache>
            </c:strRef>
          </c:tx>
          <c:spPr>
            <a:ln w="28575" cap="rnd">
              <a:solidFill>
                <a:schemeClr val="accent5"/>
              </a:solidFill>
              <a:round/>
            </a:ln>
            <a:effectLst/>
          </c:spPr>
          <c:marker>
            <c:symbol val="none"/>
          </c:marker>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graph'!$F$2:$F$57</c:f>
              <c:numCache>
                <c:formatCode>General</c:formatCode>
                <c:ptCount val="56"/>
                <c:pt idx="16" formatCode="0.000;0.000;.">
                  <c:v>3.0619999999999998</c:v>
                </c:pt>
                <c:pt idx="17" formatCode="0.000;0.000;.">
                  <c:v>2.6720000000000002</c:v>
                </c:pt>
                <c:pt idx="18" formatCode="0.000;0.000;.">
                  <c:v>2.673</c:v>
                </c:pt>
                <c:pt idx="19" formatCode="0.000;0.000;.">
                  <c:v>2.6240000000000001</c:v>
                </c:pt>
                <c:pt idx="20" formatCode="0.000;0.000;.">
                  <c:v>2.484</c:v>
                </c:pt>
                <c:pt idx="21" formatCode="0.000;0.000;.">
                  <c:v>2.4289999999999998</c:v>
                </c:pt>
                <c:pt idx="22" formatCode="0.000;0.000;.">
                  <c:v>2.2959999999999998</c:v>
                </c:pt>
                <c:pt idx="23" formatCode="0.000;0.000;.">
                  <c:v>2.1360000000000001</c:v>
                </c:pt>
                <c:pt idx="24" formatCode="0.000;0.000;.">
                  <c:v>2.0339999999999998</c:v>
                </c:pt>
                <c:pt idx="25" formatCode="0.000;0.000;.">
                  <c:v>1.8680000000000001</c:v>
                </c:pt>
                <c:pt idx="26" formatCode="0.000;0.000;.">
                  <c:v>1.6559999999999999</c:v>
                </c:pt>
                <c:pt idx="27" formatCode="0.000;0.000;.">
                  <c:v>1.6830000000000001</c:v>
                </c:pt>
                <c:pt idx="28" formatCode="0.000;0.000;.">
                  <c:v>1.831</c:v>
                </c:pt>
                <c:pt idx="29" formatCode="0.000;0.000;.">
                  <c:v>1.6739999999999999</c:v>
                </c:pt>
                <c:pt idx="30" formatCode="0.000;0.000;.">
                  <c:v>1.798</c:v>
                </c:pt>
                <c:pt idx="31" formatCode="0.000;0.000;.">
                  <c:v>1.7150000000000001</c:v>
                </c:pt>
                <c:pt idx="32" formatCode="0.000;0.000;.">
                  <c:v>1.7290000000000001</c:v>
                </c:pt>
                <c:pt idx="33" formatCode="0.000;0.000;.">
                  <c:v>1.76</c:v>
                </c:pt>
                <c:pt idx="34" formatCode="0.000;0.000;.">
                  <c:v>1.754</c:v>
                </c:pt>
                <c:pt idx="35" formatCode="0.000;0.000;.">
                  <c:v>1.7749999999999999</c:v>
                </c:pt>
                <c:pt idx="36" formatCode="0.000;0.000;.">
                  <c:v>1.7689999999999999</c:v>
                </c:pt>
                <c:pt idx="37" formatCode="0.000;0.000;.">
                  <c:v>1.778</c:v>
                </c:pt>
                <c:pt idx="38" formatCode="0.000;0.000;.">
                  <c:v>1.4690000000000001</c:v>
                </c:pt>
                <c:pt idx="39" formatCode="0.000;0.000;.">
                  <c:v>1.5509999999999999</c:v>
                </c:pt>
                <c:pt idx="40" formatCode="0.000;0.000;.">
                  <c:v>1.6739999999999999</c:v>
                </c:pt>
                <c:pt idx="41" formatCode="0.000;0.000;.">
                  <c:v>1.4</c:v>
                </c:pt>
                <c:pt idx="42" formatCode="0.000;0.000;.">
                  <c:v>1.337</c:v>
                </c:pt>
                <c:pt idx="43" formatCode="0.000;0.000;.">
                  <c:v>1.2310000000000001</c:v>
                </c:pt>
                <c:pt idx="44" formatCode="0.000;0.000;.">
                  <c:v>1.177</c:v>
                </c:pt>
                <c:pt idx="45" formatCode="0.000;0.000;.">
                  <c:v>1.1160000000000001</c:v>
                </c:pt>
                <c:pt idx="46" formatCode="0.000;0.000;.">
                  <c:v>1.1080000000000001</c:v>
                </c:pt>
                <c:pt idx="47" formatCode="0.000;0.000;.">
                  <c:v>1.091</c:v>
                </c:pt>
                <c:pt idx="48" formatCode="0.000;0.000;.">
                  <c:v>1.05</c:v>
                </c:pt>
                <c:pt idx="49" formatCode="0.000;0.000;.">
                  <c:v>1.022</c:v>
                </c:pt>
                <c:pt idx="50" formatCode="0.000;0.000;.">
                  <c:v>0.88700000000000001</c:v>
                </c:pt>
                <c:pt idx="51" formatCode="0.000;0.000;.">
                  <c:v>1.056</c:v>
                </c:pt>
                <c:pt idx="52" formatCode="0.000;0.000;.">
                  <c:v>1.2569999999999999</c:v>
                </c:pt>
                <c:pt idx="53" formatCode="0.000;0.000;.">
                  <c:v>1.056</c:v>
                </c:pt>
                <c:pt idx="54" formatCode="0.000;0.000;.">
                  <c:v>1.159</c:v>
                </c:pt>
              </c:numCache>
            </c:numRef>
          </c:val>
          <c:smooth val="0"/>
          <c:extLst xmlns:c16r2="http://schemas.microsoft.com/office/drawing/2015/06/chart">
            <c:ext xmlns:c16="http://schemas.microsoft.com/office/drawing/2014/chart" uri="{C3380CC4-5D6E-409C-BE32-E72D297353CC}">
              <c16:uniqueId val="{00000004-7B99-47B9-83D1-8C2592F8F3DB}"/>
            </c:ext>
          </c:extLst>
        </c:ser>
        <c:ser>
          <c:idx val="5"/>
          <c:order val="5"/>
          <c:tx>
            <c:strRef>
              <c:f>'[TFR_HFD.xlsx]Korean graph'!$G$1</c:f>
              <c:strCache>
                <c:ptCount val="1"/>
                <c:pt idx="0">
                  <c:v>South Korea</c:v>
                </c:pt>
              </c:strCache>
            </c:strRef>
          </c:tx>
          <c:spPr>
            <a:ln w="28575" cap="rnd">
              <a:solidFill>
                <a:srgbClr val="FF0000"/>
              </a:solidFill>
              <a:round/>
            </a:ln>
            <a:effectLst/>
          </c:spPr>
          <c:marker>
            <c:symbol val="none"/>
          </c:marker>
          <c:dLbls>
            <c:dLbl>
              <c:idx val="21"/>
              <c:layout>
                <c:manualLayout>
                  <c:x val="-1.7781613125824061E-2"/>
                  <c:y val="-2.221507167373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99-47B9-83D1-8C2592F8F3DB}"/>
                </c:ext>
              </c:extLst>
            </c:dLbl>
            <c:dLbl>
              <c:idx val="45"/>
              <c:layout>
                <c:manualLayout>
                  <c:x val="-3.6228443495619385E-2"/>
                  <c:y val="2.22220820153891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B99-47B9-83D1-8C2592F8F3DB}"/>
                </c:ext>
              </c:extLst>
            </c:dLbl>
            <c:dLbl>
              <c:idx val="55"/>
              <c:layout>
                <c:manualLayout>
                  <c:x val="-2.0370135052831988E-16"/>
                  <c:y val="-3.5555555555555556E-2"/>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99-47B9-83D1-8C2592F8F3DB}"/>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'[TFR_HFD.xlsx]Korean graph'!$A$2:$A$57</c:f>
              <c:numCache>
                <c:formatCode>General</c:formatCode>
                <c:ptCount val="5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numCache>
            </c:numRef>
          </c:cat>
          <c:val>
            <c:numRef>
              <c:f>'[TFR_HFD.xlsx]Korean graph'!$G$2:$G$57</c:f>
              <c:numCache>
                <c:formatCode>General</c:formatCode>
                <c:ptCount val="56"/>
                <c:pt idx="21">
                  <c:v>2.57</c:v>
                </c:pt>
                <c:pt idx="22">
                  <c:v>2.39</c:v>
                </c:pt>
                <c:pt idx="23">
                  <c:v>2.06</c:v>
                </c:pt>
                <c:pt idx="24">
                  <c:v>1.74</c:v>
                </c:pt>
                <c:pt idx="25">
                  <c:v>1.66</c:v>
                </c:pt>
                <c:pt idx="26">
                  <c:v>1.58</c:v>
                </c:pt>
                <c:pt idx="27">
                  <c:v>1.53</c:v>
                </c:pt>
                <c:pt idx="28">
                  <c:v>1.55</c:v>
                </c:pt>
                <c:pt idx="29">
                  <c:v>1.56</c:v>
                </c:pt>
                <c:pt idx="30">
                  <c:v>1.57</c:v>
                </c:pt>
                <c:pt idx="31">
                  <c:v>1.71</c:v>
                </c:pt>
                <c:pt idx="32">
                  <c:v>1.76</c:v>
                </c:pt>
                <c:pt idx="33" formatCode="#,##0.000">
                  <c:v>1.6539999999999999</c:v>
                </c:pt>
                <c:pt idx="34" formatCode="#,##0.000">
                  <c:v>1.6559999999999999</c:v>
                </c:pt>
                <c:pt idx="35" formatCode="#,##0.000">
                  <c:v>1.6339999999999999</c:v>
                </c:pt>
                <c:pt idx="36" formatCode="#,##0.000">
                  <c:v>1.5740000000000001</c:v>
                </c:pt>
                <c:pt idx="37" formatCode="#,##0.000">
                  <c:v>1.52</c:v>
                </c:pt>
                <c:pt idx="38" formatCode="#,##0.000">
                  <c:v>1.448</c:v>
                </c:pt>
                <c:pt idx="39" formatCode="#,##0.000">
                  <c:v>1.41</c:v>
                </c:pt>
                <c:pt idx="40" formatCode="#,##0.000">
                  <c:v>1.4670000000000001</c:v>
                </c:pt>
                <c:pt idx="41" formatCode="#,##0.000">
                  <c:v>1.2969999999999999</c:v>
                </c:pt>
                <c:pt idx="42" formatCode="#,##0.000">
                  <c:v>1.1659999999999999</c:v>
                </c:pt>
                <c:pt idx="43" formatCode="#,##0.000">
                  <c:v>1.18</c:v>
                </c:pt>
                <c:pt idx="44" formatCode="#,##0.000">
                  <c:v>1.1539999999999999</c:v>
                </c:pt>
                <c:pt idx="45" formatCode="#,##0.000">
                  <c:v>1.0760000000000001</c:v>
                </c:pt>
                <c:pt idx="46" formatCode="#,##0.000">
                  <c:v>1.123</c:v>
                </c:pt>
                <c:pt idx="47" formatCode="#,##0.000">
                  <c:v>1.25</c:v>
                </c:pt>
                <c:pt idx="48" formatCode="#,##0.000">
                  <c:v>1.1919999999999999</c:v>
                </c:pt>
                <c:pt idx="49" formatCode="#,##0.000">
                  <c:v>1.149</c:v>
                </c:pt>
                <c:pt idx="50" formatCode="#,##0.000">
                  <c:v>1.226</c:v>
                </c:pt>
                <c:pt idx="51" formatCode="#,##0.000">
                  <c:v>1.244</c:v>
                </c:pt>
                <c:pt idx="52" formatCode="#,##0.000">
                  <c:v>1.2969999999999999</c:v>
                </c:pt>
                <c:pt idx="53" formatCode="#,##0.000">
                  <c:v>1.1870000000000001</c:v>
                </c:pt>
                <c:pt idx="54" formatCode="#,##0.000">
                  <c:v>1.2050000000000001</c:v>
                </c:pt>
                <c:pt idx="55" formatCode="#,##0.000">
                  <c:v>1.24</c:v>
                </c:pt>
              </c:numCache>
            </c:numRef>
          </c:val>
          <c:smooth val="0"/>
          <c:extLst xmlns:c16r2="http://schemas.microsoft.com/office/drawing/2015/06/chart">
            <c:ext xmlns:c16="http://schemas.microsoft.com/office/drawing/2014/chart" uri="{C3380CC4-5D6E-409C-BE32-E72D297353CC}">
              <c16:uniqueId val="{00000008-7B99-47B9-83D1-8C2592F8F3DB}"/>
            </c:ext>
          </c:extLst>
        </c:ser>
        <c:dLbls>
          <c:showLegendKey val="0"/>
          <c:showVal val="0"/>
          <c:showCatName val="0"/>
          <c:showSerName val="0"/>
          <c:showPercent val="0"/>
          <c:showBubbleSize val="0"/>
        </c:dLbls>
        <c:marker val="1"/>
        <c:smooth val="0"/>
        <c:axId val="256560128"/>
        <c:axId val="256570496"/>
      </c:lineChart>
      <c:catAx>
        <c:axId val="2565601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Year</a:t>
                </a:r>
              </a:p>
            </c:rich>
          </c:tx>
          <c:layout>
            <c:manualLayout>
              <c:xMode val="edge"/>
              <c:yMode val="edge"/>
              <c:x val="0.49624936847682771"/>
              <c:y val="0.79226316710411193"/>
            </c:manualLayout>
          </c:layout>
          <c:overlay val="0"/>
          <c:spPr>
            <a:noFill/>
            <a:ln>
              <a:noFill/>
            </a:ln>
            <a:effectLst/>
          </c:spPr>
        </c:title>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6570496"/>
        <c:crosses val="autoZero"/>
        <c:auto val="1"/>
        <c:lblAlgn val="ctr"/>
        <c:lblOffset val="100"/>
        <c:noMultiLvlLbl val="0"/>
      </c:catAx>
      <c:valAx>
        <c:axId val="256570496"/>
        <c:scaling>
          <c:orientation val="minMax"/>
        </c:scaling>
        <c:delete val="0"/>
        <c:axPos val="l"/>
        <c:majorGridlines>
          <c:spPr>
            <a:ln w="9525" cap="flat" cmpd="sng" algn="ctr">
              <a:solidFill>
                <a:schemeClr val="bg1">
                  <a:lumMod val="7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TFR</a:t>
                </a:r>
              </a:p>
            </c:rich>
          </c:tx>
          <c:layout>
            <c:manualLayout>
              <c:xMode val="edge"/>
              <c:yMode val="edge"/>
              <c:x val="1.7116588419405322E-2"/>
              <c:y val="0.28444339457567808"/>
            </c:manualLayout>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6560128"/>
        <c:crosses val="autoZero"/>
        <c:crossBetween val="between"/>
      </c:valAx>
      <c:spPr>
        <a:noFill/>
        <a:ln>
          <a:noFill/>
        </a:ln>
        <a:effectLst/>
      </c:spPr>
    </c:plotArea>
    <c:legend>
      <c:legendPos val="b"/>
      <c:layout>
        <c:manualLayout>
          <c:xMode val="edge"/>
          <c:yMode val="edge"/>
          <c:x val="6.8212011570736752E-2"/>
          <c:y val="0.88226386701662296"/>
          <c:w val="0.9"/>
          <c:h val="7.500052493438320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ko-K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19074846523801"/>
          <c:y val="4.485342839156297E-2"/>
          <c:w val="0.82682850845130529"/>
          <c:h val="0.80776252323358733"/>
        </c:manualLayout>
      </c:layout>
      <c:lineChart>
        <c:grouping val="standard"/>
        <c:varyColors val="0"/>
        <c:ser>
          <c:idx val="0"/>
          <c:order val="0"/>
          <c:tx>
            <c:strRef>
              <c:f>'Female population'!$D$84</c:f>
              <c:strCache>
                <c:ptCount val="1"/>
                <c:pt idx="0">
                  <c:v>Sum 15-49</c:v>
                </c:pt>
              </c:strCache>
            </c:strRef>
          </c:tx>
          <c:marker>
            <c:symbol val="diamond"/>
            <c:size val="8"/>
            <c:spPr>
              <a:ln>
                <a:solidFill>
                  <a:schemeClr val="tx1"/>
                </a:solidFill>
              </a:ln>
            </c:spPr>
          </c:marker>
          <c:dLbls>
            <c:dLbl>
              <c:idx val="0"/>
              <c:layout>
                <c:manualLayout>
                  <c:x val="-3.2203411059352059E-2"/>
                  <c:y val="-3.6313187120822571E-2"/>
                </c:manualLayout>
              </c:layout>
              <c:tx>
                <c:rich>
                  <a:bodyPr/>
                  <a:lstStyle/>
                  <a:p>
                    <a:r>
                      <a:rPr lang="en-US" altLang="en-US" sz="800"/>
                      <a:t>13,355,636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971-4120-9E62-8503A3362098}"/>
                </c:ext>
              </c:extLst>
            </c:dLbl>
            <c:dLbl>
              <c:idx val="1"/>
              <c:layout>
                <c:manualLayout>
                  <c:x val="-3.3594483266476911E-2"/>
                  <c:y val="4.039914869901156E-2"/>
                </c:manualLayout>
              </c:layout>
              <c:tx>
                <c:rich>
                  <a:bodyPr/>
                  <a:lstStyle/>
                  <a:p>
                    <a:r>
                      <a:rPr lang="en-US" altLang="en-US" sz="800"/>
                      <a:t>12,602,404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71-4120-9E62-8503A3362098}"/>
                </c:ext>
              </c:extLst>
            </c:dLbl>
            <c:dLbl>
              <c:idx val="5"/>
              <c:layout>
                <c:manualLayout>
                  <c:x val="-3.7510241190091491E-2"/>
                  <c:y val="5.6652253070906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71-4120-9E62-8503A3362098}"/>
                </c:ext>
              </c:extLst>
            </c:dLbl>
            <c:dLbl>
              <c:idx val="11"/>
              <c:layout>
                <c:manualLayout>
                  <c:x val="-5.8737151248164461E-3"/>
                  <c:y val="4.4439255799927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71-4120-9E62-8503A3362098}"/>
                </c:ext>
              </c:extLst>
            </c:dLbl>
            <c:spPr>
              <a:noFill/>
              <a:ln>
                <a:noFill/>
              </a:ln>
              <a:effectLst/>
            </c:spPr>
            <c:txPr>
              <a:bodyPr/>
              <a:lstStyle/>
              <a:p>
                <a:pPr>
                  <a:defRPr sz="800"/>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'Female population'!$E$83:$P$83</c:f>
              <c:numCache>
                <c:formatCode>General</c:formatCode>
                <c:ptCount val="12"/>
                <c:pt idx="0">
                  <c:v>2005</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'Female population'!$E$84:$P$84</c:f>
              <c:numCache>
                <c:formatCode>#,##0_);[Red]\(#,##0\)</c:formatCode>
                <c:ptCount val="12"/>
                <c:pt idx="0">
                  <c:v>13355636</c:v>
                </c:pt>
                <c:pt idx="1">
                  <c:v>12602404</c:v>
                </c:pt>
                <c:pt idx="2">
                  <c:v>12483817</c:v>
                </c:pt>
                <c:pt idx="3">
                  <c:v>12324869</c:v>
                </c:pt>
                <c:pt idx="4">
                  <c:v>12137181</c:v>
                </c:pt>
                <c:pt idx="5">
                  <c:v>11934945</c:v>
                </c:pt>
                <c:pt idx="6">
                  <c:v>11710038</c:v>
                </c:pt>
                <c:pt idx="7">
                  <c:v>11481347</c:v>
                </c:pt>
                <c:pt idx="8">
                  <c:v>11268181</c:v>
                </c:pt>
                <c:pt idx="9">
                  <c:v>11078185</c:v>
                </c:pt>
                <c:pt idx="10">
                  <c:v>10887202</c:v>
                </c:pt>
                <c:pt idx="11">
                  <c:v>10709856</c:v>
                </c:pt>
              </c:numCache>
            </c:numRef>
          </c:val>
          <c:smooth val="0"/>
          <c:extLst xmlns:c16r2="http://schemas.microsoft.com/office/drawing/2015/06/chart">
            <c:ext xmlns:c16="http://schemas.microsoft.com/office/drawing/2014/chart" uri="{C3380CC4-5D6E-409C-BE32-E72D297353CC}">
              <c16:uniqueId val="{00000004-0971-4120-9E62-8503A3362098}"/>
            </c:ext>
          </c:extLst>
        </c:ser>
        <c:dLbls>
          <c:showLegendKey val="0"/>
          <c:showVal val="0"/>
          <c:showCatName val="0"/>
          <c:showSerName val="0"/>
          <c:showPercent val="0"/>
          <c:showBubbleSize val="0"/>
        </c:dLbls>
        <c:marker val="1"/>
        <c:smooth val="0"/>
        <c:axId val="265236864"/>
        <c:axId val="265238784"/>
      </c:lineChart>
      <c:catAx>
        <c:axId val="265236864"/>
        <c:scaling>
          <c:orientation val="minMax"/>
        </c:scaling>
        <c:delete val="0"/>
        <c:axPos val="b"/>
        <c:title>
          <c:tx>
            <c:rich>
              <a:bodyPr/>
              <a:lstStyle/>
              <a:p>
                <a:pPr>
                  <a:defRPr/>
                </a:pPr>
                <a:r>
                  <a:rPr lang="en-US" altLang="en-US"/>
                  <a:t>Year</a:t>
                </a:r>
              </a:p>
            </c:rich>
          </c:tx>
          <c:layout>
            <c:manualLayout>
              <c:xMode val="edge"/>
              <c:yMode val="edge"/>
              <c:x val="0.5272793984452383"/>
              <c:y val="0.91029314321687405"/>
            </c:manualLayout>
          </c:layout>
          <c:overlay val="0"/>
        </c:title>
        <c:numFmt formatCode="General" sourceLinked="1"/>
        <c:majorTickMark val="out"/>
        <c:minorTickMark val="none"/>
        <c:tickLblPos val="nextTo"/>
        <c:txPr>
          <a:bodyPr/>
          <a:lstStyle/>
          <a:p>
            <a:pPr>
              <a:defRPr sz="850"/>
            </a:pPr>
            <a:endParaRPr lang="ko-KR"/>
          </a:p>
        </c:txPr>
        <c:crossAx val="265238784"/>
        <c:crosses val="autoZero"/>
        <c:auto val="1"/>
        <c:lblAlgn val="ctr"/>
        <c:lblOffset val="100"/>
        <c:noMultiLvlLbl val="0"/>
      </c:catAx>
      <c:valAx>
        <c:axId val="265238784"/>
        <c:scaling>
          <c:orientation val="minMax"/>
          <c:max val="15000000"/>
          <c:min val="6000000"/>
        </c:scaling>
        <c:delete val="0"/>
        <c:axPos val="l"/>
        <c:majorGridlines>
          <c:spPr>
            <a:ln>
              <a:solidFill>
                <a:schemeClr val="bg1">
                  <a:lumMod val="75000"/>
                </a:schemeClr>
              </a:solidFill>
            </a:ln>
          </c:spPr>
        </c:majorGridlines>
        <c:numFmt formatCode="#,##0_);[Red]\(#,##0\)" sourceLinked="1"/>
        <c:majorTickMark val="out"/>
        <c:minorTickMark val="none"/>
        <c:tickLblPos val="nextTo"/>
        <c:spPr>
          <a:ln>
            <a:noFill/>
          </a:ln>
        </c:spPr>
        <c:txPr>
          <a:bodyPr/>
          <a:lstStyle/>
          <a:p>
            <a:pPr>
              <a:defRPr sz="1000"/>
            </a:pPr>
            <a:endParaRPr lang="ko-KR"/>
          </a:p>
        </c:txPr>
        <c:crossAx val="265236864"/>
        <c:crosses val="autoZero"/>
        <c:crossBetween val="between"/>
        <c:majorUnit val="1000000"/>
        <c:minorUnit val="400000"/>
      </c:valAx>
      <c:spPr>
        <a:ln>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a:t>15-19 years</a:t>
            </a:r>
          </a:p>
        </c:rich>
      </c:tx>
      <c:overlay val="0"/>
      <c:spPr>
        <a:noFill/>
        <a:ln>
          <a:noFill/>
        </a:ln>
        <a:effectLst/>
      </c:spPr>
    </c:title>
    <c:autoTitleDeleted val="0"/>
    <c:plotArea>
      <c:layout>
        <c:manualLayout>
          <c:layoutTarget val="inner"/>
          <c:xMode val="edge"/>
          <c:yMode val="edge"/>
          <c:x val="0.13884727416232875"/>
          <c:y val="0.1757268331313519"/>
          <c:w val="0.83647801419043444"/>
          <c:h val="0.55657528523220312"/>
        </c:manualLayout>
      </c:layout>
      <c:lineChart>
        <c:grouping val="standard"/>
        <c:varyColors val="0"/>
        <c:ser>
          <c:idx val="0"/>
          <c:order val="0"/>
          <c:spPr>
            <a:ln w="28575" cap="rnd">
              <a:solidFill>
                <a:schemeClr val="accent1"/>
              </a:solidFill>
              <a:round/>
            </a:ln>
            <a:effectLst/>
          </c:spPr>
          <c:marker>
            <c:symbol val="none"/>
          </c:marker>
          <c:dPt>
            <c:idx val="0"/>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9578-466D-8B85-6F44C831BB4F}"/>
              </c:ext>
            </c:extLst>
          </c:dPt>
          <c:dPt>
            <c:idx val="34"/>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1-9578-466D-8B85-6F44C831BB4F}"/>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78-466D-8B85-6F44C831BB4F}"/>
                </c:ext>
              </c:extLst>
            </c:dLbl>
            <c:dLbl>
              <c:idx val="34"/>
              <c:layout>
                <c:manualLayout>
                  <c:x val="-1.5898454194550628E-2"/>
                  <c:y val="-5.98659209067052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78-466D-8B85-6F44C831BB4F}"/>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fertility'!$C$3:$C$37</c:f>
              <c:numCache>
                <c:formatCode>0.0_ </c:formatCode>
                <c:ptCount val="35"/>
                <c:pt idx="0">
                  <c:v>16.2</c:v>
                </c:pt>
                <c:pt idx="1">
                  <c:v>14.8</c:v>
                </c:pt>
                <c:pt idx="2">
                  <c:v>12.9</c:v>
                </c:pt>
                <c:pt idx="3">
                  <c:v>11.6</c:v>
                </c:pt>
                <c:pt idx="4">
                  <c:v>10</c:v>
                </c:pt>
                <c:pt idx="5">
                  <c:v>8.6999999999999993</c:v>
                </c:pt>
                <c:pt idx="6">
                  <c:v>6.9</c:v>
                </c:pt>
                <c:pt idx="7">
                  <c:v>5.7</c:v>
                </c:pt>
                <c:pt idx="8">
                  <c:v>4.4000000000000004</c:v>
                </c:pt>
                <c:pt idx="9">
                  <c:v>4.0999999999999996</c:v>
                </c:pt>
                <c:pt idx="10">
                  <c:v>4.2</c:v>
                </c:pt>
                <c:pt idx="11">
                  <c:v>4.5999999999999996</c:v>
                </c:pt>
                <c:pt idx="12" formatCode="General">
                  <c:v>4.4000000000000004</c:v>
                </c:pt>
                <c:pt idx="13" formatCode="General">
                  <c:v>4</c:v>
                </c:pt>
                <c:pt idx="14" formatCode="General">
                  <c:v>3.7</c:v>
                </c:pt>
                <c:pt idx="15" formatCode="General">
                  <c:v>3.4</c:v>
                </c:pt>
                <c:pt idx="16" formatCode="General">
                  <c:v>3</c:v>
                </c:pt>
                <c:pt idx="17" formatCode="General">
                  <c:v>2.8</c:v>
                </c:pt>
                <c:pt idx="18" formatCode="General">
                  <c:v>2.6</c:v>
                </c:pt>
                <c:pt idx="19" formatCode="General">
                  <c:v>2.5</c:v>
                </c:pt>
                <c:pt idx="20" formatCode="General">
                  <c:v>2.2000000000000002</c:v>
                </c:pt>
                <c:pt idx="21" formatCode="General">
                  <c:v>2.6</c:v>
                </c:pt>
                <c:pt idx="22" formatCode="General">
                  <c:v>2.5</c:v>
                </c:pt>
                <c:pt idx="23" formatCode="General">
                  <c:v>2.2999999999999998</c:v>
                </c:pt>
                <c:pt idx="24" formatCode="General">
                  <c:v>2.1</c:v>
                </c:pt>
                <c:pt idx="25" formatCode="General">
                  <c:v>2.2000000000000002</c:v>
                </c:pt>
                <c:pt idx="26" formatCode="General">
                  <c:v>2.2000000000000002</c:v>
                </c:pt>
                <c:pt idx="27" formatCode="General">
                  <c:v>1.7</c:v>
                </c:pt>
                <c:pt idx="28" formatCode="General">
                  <c:v>1.7</c:v>
                </c:pt>
                <c:pt idx="29" formatCode="General">
                  <c:v>1.8</c:v>
                </c:pt>
                <c:pt idx="30" formatCode="General">
                  <c:v>1.8</c:v>
                </c:pt>
                <c:pt idx="31" formatCode="General">
                  <c:v>1.8</c:v>
                </c:pt>
                <c:pt idx="32" formatCode="General">
                  <c:v>1.7</c:v>
                </c:pt>
                <c:pt idx="33" formatCode="General">
                  <c:v>1.6</c:v>
                </c:pt>
                <c:pt idx="34" formatCode="General">
                  <c:v>1.4</c:v>
                </c:pt>
              </c:numCache>
            </c:numRef>
          </c:val>
          <c:smooth val="0"/>
          <c:extLst xmlns:c16r2="http://schemas.microsoft.com/office/drawing/2015/06/chart">
            <c:ext xmlns:c16="http://schemas.microsoft.com/office/drawing/2014/chart" uri="{C3380CC4-5D6E-409C-BE32-E72D297353CC}">
              <c16:uniqueId val="{00000002-9578-466D-8B85-6F44C831BB4F}"/>
            </c:ext>
          </c:extLst>
        </c:ser>
        <c:dLbls>
          <c:showLegendKey val="0"/>
          <c:showVal val="0"/>
          <c:showCatName val="0"/>
          <c:showSerName val="0"/>
          <c:showPercent val="0"/>
          <c:showBubbleSize val="0"/>
        </c:dLbls>
        <c:marker val="1"/>
        <c:smooth val="0"/>
        <c:axId val="253764352"/>
        <c:axId val="253766272"/>
      </c:lineChart>
      <c:catAx>
        <c:axId val="2537643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3766272"/>
        <c:crosses val="autoZero"/>
        <c:auto val="1"/>
        <c:lblAlgn val="ctr"/>
        <c:lblOffset val="100"/>
        <c:noMultiLvlLbl val="0"/>
      </c:catAx>
      <c:valAx>
        <c:axId val="25376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ASFR per 1,000</a:t>
                </a:r>
              </a:p>
            </c:rich>
          </c:tx>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376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ko-K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1" i="0" u="none" strike="noStrike" kern="1200" spc="0" baseline="0">
                <a:solidFill>
                  <a:schemeClr val="tx1">
                    <a:lumMod val="65000"/>
                    <a:lumOff val="35000"/>
                  </a:schemeClr>
                </a:solidFill>
                <a:latin typeface="+mn-lt"/>
                <a:ea typeface="+mn-ea"/>
                <a:cs typeface="+mn-cs"/>
              </a:defRPr>
            </a:pPr>
            <a:r>
              <a:rPr lang="en-US" sz="1000"/>
              <a:t>20-24 and 25-29 years</a:t>
            </a:r>
          </a:p>
        </c:rich>
      </c:tx>
      <c:overlay val="0"/>
      <c:spPr>
        <a:noFill/>
        <a:ln>
          <a:noFill/>
        </a:ln>
        <a:effectLst/>
      </c:spPr>
    </c:title>
    <c:autoTitleDeleted val="0"/>
    <c:plotArea>
      <c:layout>
        <c:manualLayout>
          <c:layoutTarget val="inner"/>
          <c:xMode val="edge"/>
          <c:yMode val="edge"/>
          <c:x val="0.16747702212211549"/>
          <c:y val="0.1726388888888889"/>
          <c:w val="0.79617004583142692"/>
          <c:h val="0.55973574553496575"/>
        </c:manualLayout>
      </c:layout>
      <c:lineChart>
        <c:grouping val="standard"/>
        <c:varyColors val="0"/>
        <c:ser>
          <c:idx val="0"/>
          <c:order val="0"/>
          <c:tx>
            <c:v>20-24</c:v>
          </c:tx>
          <c:spPr>
            <a:ln w="28575" cap="rnd">
              <a:solidFill>
                <a:schemeClr val="accent1"/>
              </a:solidFill>
              <a:round/>
            </a:ln>
            <a:effectLst/>
          </c:spPr>
          <c:marker>
            <c:symbol val="none"/>
          </c:marker>
          <c:dPt>
            <c:idx val="0"/>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37BD-487E-91A9-6A5B1C8615CC}"/>
              </c:ext>
            </c:extLst>
          </c:dPt>
          <c:dPt>
            <c:idx val="34"/>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1-37BD-487E-91A9-6A5B1C8615CC}"/>
              </c:ext>
            </c:extLst>
          </c:dPt>
          <c:dLbls>
            <c:dLbl>
              <c:idx val="0"/>
              <c:layout>
                <c:manualLayout>
                  <c:x val="-5.464010781906007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BD-487E-91A9-6A5B1C8615CC}"/>
                </c:ext>
              </c:extLst>
            </c:dLbl>
            <c:dLbl>
              <c:idx val="34"/>
              <c:layout>
                <c:manualLayout>
                  <c:x val="-2.5082873826765162E-7"/>
                  <c:y val="-4.8273820926147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BD-487E-91A9-6A5B1C8615CC}"/>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fertility'!$D$3:$D$37</c:f>
              <c:numCache>
                <c:formatCode>0.0_ </c:formatCode>
                <c:ptCount val="35"/>
                <c:pt idx="0">
                  <c:v>160.9</c:v>
                </c:pt>
                <c:pt idx="1">
                  <c:v>157.1</c:v>
                </c:pt>
                <c:pt idx="2">
                  <c:v>145</c:v>
                </c:pt>
                <c:pt idx="3">
                  <c:v>128.30000000000001</c:v>
                </c:pt>
                <c:pt idx="4">
                  <c:v>117.5</c:v>
                </c:pt>
                <c:pt idx="5">
                  <c:v>103.4</c:v>
                </c:pt>
                <c:pt idx="6">
                  <c:v>96.5</c:v>
                </c:pt>
                <c:pt idx="7">
                  <c:v>91.5</c:v>
                </c:pt>
                <c:pt idx="8">
                  <c:v>88.9</c:v>
                </c:pt>
                <c:pt idx="9">
                  <c:v>82.1</c:v>
                </c:pt>
                <c:pt idx="10">
                  <c:v>83.8</c:v>
                </c:pt>
                <c:pt idx="11">
                  <c:v>81.900000000000006</c:v>
                </c:pt>
                <c:pt idx="12" formatCode="General">
                  <c:v>71.900000000000006</c:v>
                </c:pt>
                <c:pt idx="13" formatCode="General">
                  <c:v>65.400000000000006</c:v>
                </c:pt>
                <c:pt idx="14" formatCode="General">
                  <c:v>62.4</c:v>
                </c:pt>
                <c:pt idx="15" formatCode="General">
                  <c:v>58.5</c:v>
                </c:pt>
                <c:pt idx="16" formatCode="General">
                  <c:v>54.2</c:v>
                </c:pt>
                <c:pt idx="17" formatCode="General">
                  <c:v>48.3</c:v>
                </c:pt>
                <c:pt idx="18" formatCode="General">
                  <c:v>43.3</c:v>
                </c:pt>
                <c:pt idx="19" formatCode="General">
                  <c:v>38.799999999999997</c:v>
                </c:pt>
                <c:pt idx="20" formatCode="General">
                  <c:v>31.4</c:v>
                </c:pt>
                <c:pt idx="21" formatCode="General">
                  <c:v>26.5</c:v>
                </c:pt>
                <c:pt idx="22" formatCode="General">
                  <c:v>23.6</c:v>
                </c:pt>
                <c:pt idx="23" formatCode="General">
                  <c:v>20.6</c:v>
                </c:pt>
                <c:pt idx="24" formatCode="General">
                  <c:v>17.8</c:v>
                </c:pt>
                <c:pt idx="25" formatCode="General">
                  <c:v>17.600000000000001</c:v>
                </c:pt>
                <c:pt idx="26" formatCode="General">
                  <c:v>19.5</c:v>
                </c:pt>
                <c:pt idx="27" formatCode="General">
                  <c:v>18.2</c:v>
                </c:pt>
                <c:pt idx="28" formatCode="General">
                  <c:v>16.5</c:v>
                </c:pt>
                <c:pt idx="29" formatCode="General">
                  <c:v>16.5</c:v>
                </c:pt>
                <c:pt idx="30" formatCode="General">
                  <c:v>16.399999999999999</c:v>
                </c:pt>
                <c:pt idx="31" formatCode="General">
                  <c:v>16</c:v>
                </c:pt>
                <c:pt idx="32" formatCode="General">
                  <c:v>14</c:v>
                </c:pt>
                <c:pt idx="33" formatCode="General">
                  <c:v>13.1</c:v>
                </c:pt>
                <c:pt idx="34" formatCode="General">
                  <c:v>12.5</c:v>
                </c:pt>
              </c:numCache>
            </c:numRef>
          </c:val>
          <c:smooth val="0"/>
          <c:extLst xmlns:c16r2="http://schemas.microsoft.com/office/drawing/2015/06/chart">
            <c:ext xmlns:c16="http://schemas.microsoft.com/office/drawing/2014/chart" uri="{C3380CC4-5D6E-409C-BE32-E72D297353CC}">
              <c16:uniqueId val="{00000002-37BD-487E-91A9-6A5B1C8615CC}"/>
            </c:ext>
          </c:extLst>
        </c:ser>
        <c:ser>
          <c:idx val="1"/>
          <c:order val="1"/>
          <c:tx>
            <c:v>25-29</c:v>
          </c:tx>
          <c:spPr>
            <a:ln w="28575" cap="rnd">
              <a:solidFill>
                <a:schemeClr val="accent2"/>
              </a:solidFill>
              <a:round/>
            </a:ln>
            <a:effectLst/>
          </c:spPr>
          <c:marker>
            <c:symbol val="none"/>
          </c:marker>
          <c:dPt>
            <c:idx val="0"/>
            <c:marker>
              <c:symbol val="circle"/>
              <c:size val="5"/>
              <c:spPr>
                <a:solidFill>
                  <a:schemeClr val="accent2"/>
                </a:solidFill>
                <a:ln w="9525">
                  <a:solidFill>
                    <a:schemeClr val="accent2"/>
                  </a:solidFill>
                </a:ln>
                <a:effectLst/>
              </c:spPr>
            </c:marker>
            <c:bubble3D val="0"/>
            <c:extLst xmlns:c16r2="http://schemas.microsoft.com/office/drawing/2015/06/chart">
              <c:ext xmlns:c16="http://schemas.microsoft.com/office/drawing/2014/chart" uri="{C3380CC4-5D6E-409C-BE32-E72D297353CC}">
                <c16:uniqueId val="{00000003-37BD-487E-91A9-6A5B1C8615CC}"/>
              </c:ext>
            </c:extLst>
          </c:dPt>
          <c:dPt>
            <c:idx val="34"/>
            <c:marker>
              <c:symbol val="circle"/>
              <c:size val="5"/>
              <c:spPr>
                <a:solidFill>
                  <a:schemeClr val="accent2"/>
                </a:solidFill>
                <a:ln w="9525">
                  <a:solidFill>
                    <a:schemeClr val="accent2"/>
                  </a:solidFill>
                </a:ln>
                <a:effectLst/>
              </c:spPr>
            </c:marker>
            <c:bubble3D val="0"/>
            <c:extLst xmlns:c16r2="http://schemas.microsoft.com/office/drawing/2015/06/chart">
              <c:ext xmlns:c16="http://schemas.microsoft.com/office/drawing/2014/chart" uri="{C3380CC4-5D6E-409C-BE32-E72D297353CC}">
                <c16:uniqueId val="{00000004-37BD-487E-91A9-6A5B1C8615CC}"/>
              </c:ext>
            </c:extLst>
          </c:dPt>
          <c:dLbls>
            <c:dLbl>
              <c:idx val="0"/>
              <c:layout>
                <c:manualLayout>
                  <c:x val="-2.5133578311403899E-2"/>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BD-487E-91A9-6A5B1C8615CC}"/>
                </c:ext>
              </c:extLst>
            </c:dLbl>
            <c:dLbl>
              <c:idx val="34"/>
              <c:layout>
                <c:manualLayout>
                  <c:x val="-1.4294831616022449E-16"/>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BD-487E-91A9-6A5B1C8615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fertility'!$E$3:$E$37</c:f>
              <c:numCache>
                <c:formatCode>0.0_ </c:formatCode>
                <c:ptCount val="35"/>
                <c:pt idx="0">
                  <c:v>224.3</c:v>
                </c:pt>
                <c:pt idx="1">
                  <c:v>211</c:v>
                </c:pt>
                <c:pt idx="2">
                  <c:v>184.6</c:v>
                </c:pt>
                <c:pt idx="3">
                  <c:v>157.6</c:v>
                </c:pt>
                <c:pt idx="4">
                  <c:v>157.30000000000001</c:v>
                </c:pt>
                <c:pt idx="5">
                  <c:v>158.4</c:v>
                </c:pt>
                <c:pt idx="6">
                  <c:v>157.69999999999999</c:v>
                </c:pt>
                <c:pt idx="7">
                  <c:v>162.19999999999999</c:v>
                </c:pt>
                <c:pt idx="8">
                  <c:v>163.80000000000001</c:v>
                </c:pt>
                <c:pt idx="9">
                  <c:v>167.1</c:v>
                </c:pt>
                <c:pt idx="10">
                  <c:v>183.7</c:v>
                </c:pt>
                <c:pt idx="11">
                  <c:v>186.6</c:v>
                </c:pt>
                <c:pt idx="12" formatCode="General">
                  <c:v>176.5</c:v>
                </c:pt>
                <c:pt idx="13" formatCode="General">
                  <c:v>177.5</c:v>
                </c:pt>
                <c:pt idx="14" formatCode="General">
                  <c:v>175.3</c:v>
                </c:pt>
                <c:pt idx="15" formatCode="General">
                  <c:v>166.3</c:v>
                </c:pt>
                <c:pt idx="16" formatCode="General">
                  <c:v>159.69999999999999</c:v>
                </c:pt>
                <c:pt idx="17" formatCode="General">
                  <c:v>152.1</c:v>
                </c:pt>
                <c:pt idx="18" formatCode="General">
                  <c:v>147.19999999999999</c:v>
                </c:pt>
                <c:pt idx="19" formatCode="General">
                  <c:v>149.6</c:v>
                </c:pt>
                <c:pt idx="20" formatCode="General">
                  <c:v>129.19999999999999</c:v>
                </c:pt>
                <c:pt idx="21" formatCode="General">
                  <c:v>110.9</c:v>
                </c:pt>
                <c:pt idx="22" formatCode="General">
                  <c:v>111.7</c:v>
                </c:pt>
                <c:pt idx="23" formatCode="General">
                  <c:v>104.5</c:v>
                </c:pt>
                <c:pt idx="24" formatCode="General">
                  <c:v>91.7</c:v>
                </c:pt>
                <c:pt idx="25" formatCode="General">
                  <c:v>89.4</c:v>
                </c:pt>
                <c:pt idx="26" formatCode="General">
                  <c:v>95.5</c:v>
                </c:pt>
                <c:pt idx="27" formatCode="General">
                  <c:v>85.6</c:v>
                </c:pt>
                <c:pt idx="28" formatCode="General">
                  <c:v>80.400000000000006</c:v>
                </c:pt>
                <c:pt idx="29" formatCode="General">
                  <c:v>79.7</c:v>
                </c:pt>
                <c:pt idx="30" formatCode="General">
                  <c:v>78.400000000000006</c:v>
                </c:pt>
                <c:pt idx="31" formatCode="General">
                  <c:v>77.400000000000006</c:v>
                </c:pt>
                <c:pt idx="32" formatCode="General">
                  <c:v>65.900000000000006</c:v>
                </c:pt>
                <c:pt idx="33" formatCode="General">
                  <c:v>63.4</c:v>
                </c:pt>
                <c:pt idx="34" formatCode="General">
                  <c:v>63.1</c:v>
                </c:pt>
              </c:numCache>
            </c:numRef>
          </c:val>
          <c:smooth val="0"/>
          <c:extLst xmlns:c16r2="http://schemas.microsoft.com/office/drawing/2015/06/chart">
            <c:ext xmlns:c16="http://schemas.microsoft.com/office/drawing/2014/chart" uri="{C3380CC4-5D6E-409C-BE32-E72D297353CC}">
              <c16:uniqueId val="{00000005-37BD-487E-91A9-6A5B1C8615CC}"/>
            </c:ext>
          </c:extLst>
        </c:ser>
        <c:dLbls>
          <c:showLegendKey val="0"/>
          <c:showVal val="0"/>
          <c:showCatName val="0"/>
          <c:showSerName val="0"/>
          <c:showPercent val="0"/>
          <c:showBubbleSize val="0"/>
        </c:dLbls>
        <c:marker val="1"/>
        <c:smooth val="0"/>
        <c:axId val="253966592"/>
        <c:axId val="253968768"/>
      </c:lineChart>
      <c:catAx>
        <c:axId val="2539665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3968768"/>
        <c:crosses val="autoZero"/>
        <c:auto val="1"/>
        <c:lblAlgn val="ctr"/>
        <c:lblOffset val="100"/>
        <c:noMultiLvlLbl val="0"/>
      </c:catAx>
      <c:valAx>
        <c:axId val="25396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ASFR per 1,000</a:t>
                </a:r>
              </a:p>
            </c:rich>
          </c:tx>
          <c:layout>
            <c:manualLayout>
              <c:xMode val="edge"/>
              <c:yMode val="edge"/>
              <c:x val="1.2693829871679458E-2"/>
              <c:y val="0.2558013066574040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3966592"/>
        <c:crosses val="autoZero"/>
        <c:crossBetween val="between"/>
      </c:valAx>
      <c:spPr>
        <a:noFill/>
        <a:ln>
          <a:noFill/>
        </a:ln>
        <a:effectLst/>
      </c:spPr>
    </c:plotArea>
    <c:legend>
      <c:legendPos val="b"/>
      <c:layout>
        <c:manualLayout>
          <c:xMode val="edge"/>
          <c:yMode val="edge"/>
          <c:x val="0.59444905969322637"/>
          <c:y val="0.21598962815795816"/>
          <c:w val="0.37072766598925067"/>
          <c:h val="8.264034703995333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ko-K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a:t>30-34 and 35-39 years</a:t>
            </a:r>
          </a:p>
        </c:rich>
      </c:tx>
      <c:overlay val="0"/>
      <c:spPr>
        <a:noFill/>
        <a:ln>
          <a:noFill/>
        </a:ln>
        <a:effectLst/>
      </c:spPr>
    </c:title>
    <c:autoTitleDeleted val="0"/>
    <c:plotArea>
      <c:layout>
        <c:manualLayout>
          <c:layoutTarget val="inner"/>
          <c:xMode val="edge"/>
          <c:yMode val="edge"/>
          <c:x val="0.18419233395348256"/>
          <c:y val="0.15447327838883956"/>
          <c:w val="0.77668705758169743"/>
          <c:h val="0.60870761024274955"/>
        </c:manualLayout>
      </c:layout>
      <c:lineChart>
        <c:grouping val="standard"/>
        <c:varyColors val="0"/>
        <c:ser>
          <c:idx val="0"/>
          <c:order val="0"/>
          <c:tx>
            <c:v>30-34</c:v>
          </c:tx>
          <c:spPr>
            <a:ln w="28575" cap="rnd">
              <a:solidFill>
                <a:schemeClr val="accent1"/>
              </a:solidFill>
              <a:round/>
            </a:ln>
            <a:effectLst/>
          </c:spPr>
          <c:marker>
            <c:symbol val="none"/>
          </c:marker>
          <c:dPt>
            <c:idx val="0"/>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3FC0-4284-8CB4-F3B5F7F9D563}"/>
              </c:ext>
            </c:extLst>
          </c:dPt>
          <c:dPt>
            <c:idx val="34"/>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1-3FC0-4284-8CB4-F3B5F7F9D563}"/>
              </c:ext>
            </c:extLst>
          </c:dPt>
          <c:dLbls>
            <c:dLbl>
              <c:idx val="0"/>
              <c:layout>
                <c:manualLayout>
                  <c:x val="-3.6348122567818171E-2"/>
                  <c:y val="-7.16557468562698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C0-4284-8CB4-F3B5F7F9D563}"/>
                </c:ext>
              </c:extLst>
            </c:dLbl>
            <c:dLbl>
              <c:idx val="34"/>
              <c:layout>
                <c:manualLayout>
                  <c:x val="-3.1797158758458413E-2"/>
                  <c:y val="-5.36898839137645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C0-4284-8CB4-F3B5F7F9D5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fertility'!$F$3:$F$37</c:f>
              <c:numCache>
                <c:formatCode>0.0_ </c:formatCode>
                <c:ptCount val="35"/>
                <c:pt idx="0">
                  <c:v>82.3</c:v>
                </c:pt>
                <c:pt idx="1">
                  <c:v>71.5</c:v>
                </c:pt>
                <c:pt idx="2">
                  <c:v>54.7</c:v>
                </c:pt>
                <c:pt idx="3">
                  <c:v>41.3</c:v>
                </c:pt>
                <c:pt idx="4">
                  <c:v>40.5</c:v>
                </c:pt>
                <c:pt idx="5">
                  <c:v>39</c:v>
                </c:pt>
                <c:pt idx="6">
                  <c:v>38.6</c:v>
                </c:pt>
                <c:pt idx="7">
                  <c:v>41.4</c:v>
                </c:pt>
                <c:pt idx="8">
                  <c:v>44</c:v>
                </c:pt>
                <c:pt idx="9">
                  <c:v>49.6</c:v>
                </c:pt>
                <c:pt idx="10">
                  <c:v>57.8</c:v>
                </c:pt>
                <c:pt idx="11">
                  <c:v>64.099999999999994</c:v>
                </c:pt>
                <c:pt idx="12" formatCode="General">
                  <c:v>63.2</c:v>
                </c:pt>
                <c:pt idx="13" formatCode="General">
                  <c:v>67</c:v>
                </c:pt>
                <c:pt idx="14" formatCode="General">
                  <c:v>68.599999999999994</c:v>
                </c:pt>
                <c:pt idx="15" formatCode="General">
                  <c:v>70.3</c:v>
                </c:pt>
                <c:pt idx="16" formatCode="General">
                  <c:v>71.5</c:v>
                </c:pt>
                <c:pt idx="17" formatCode="General">
                  <c:v>71.2</c:v>
                </c:pt>
                <c:pt idx="18" formatCode="General">
                  <c:v>72.3</c:v>
                </c:pt>
                <c:pt idx="19" formatCode="General">
                  <c:v>83.5</c:v>
                </c:pt>
                <c:pt idx="20" formatCode="General">
                  <c:v>77.5</c:v>
                </c:pt>
                <c:pt idx="21" formatCode="General">
                  <c:v>74.5</c:v>
                </c:pt>
                <c:pt idx="22" formatCode="General">
                  <c:v>79.099999999999994</c:v>
                </c:pt>
                <c:pt idx="23" formatCode="General">
                  <c:v>83.2</c:v>
                </c:pt>
                <c:pt idx="24" formatCode="General">
                  <c:v>81.5</c:v>
                </c:pt>
                <c:pt idx="25" formatCode="General">
                  <c:v>89.4</c:v>
                </c:pt>
                <c:pt idx="26" formatCode="General">
                  <c:v>101.3</c:v>
                </c:pt>
                <c:pt idx="27" formatCode="General">
                  <c:v>101.5</c:v>
                </c:pt>
                <c:pt idx="28" formatCode="General">
                  <c:v>100.8</c:v>
                </c:pt>
                <c:pt idx="29" formatCode="General">
                  <c:v>112.4</c:v>
                </c:pt>
                <c:pt idx="30" formatCode="General">
                  <c:v>114.4</c:v>
                </c:pt>
                <c:pt idx="31" formatCode="General">
                  <c:v>121.9</c:v>
                </c:pt>
                <c:pt idx="32" formatCode="General">
                  <c:v>111.4</c:v>
                </c:pt>
                <c:pt idx="33" formatCode="General">
                  <c:v>113.8</c:v>
                </c:pt>
                <c:pt idx="34" formatCode="General">
                  <c:v>116.8</c:v>
                </c:pt>
              </c:numCache>
            </c:numRef>
          </c:val>
          <c:smooth val="0"/>
          <c:extLst xmlns:c16r2="http://schemas.microsoft.com/office/drawing/2015/06/chart">
            <c:ext xmlns:c16="http://schemas.microsoft.com/office/drawing/2014/chart" uri="{C3380CC4-5D6E-409C-BE32-E72D297353CC}">
              <c16:uniqueId val="{00000002-3FC0-4284-8CB4-F3B5F7F9D563}"/>
            </c:ext>
          </c:extLst>
        </c:ser>
        <c:ser>
          <c:idx val="1"/>
          <c:order val="1"/>
          <c:tx>
            <c:v>35-39</c:v>
          </c:tx>
          <c:spPr>
            <a:ln w="28575" cap="rnd">
              <a:solidFill>
                <a:schemeClr val="accent2"/>
              </a:solidFill>
              <a:round/>
            </a:ln>
            <a:effectLst/>
          </c:spPr>
          <c:marker>
            <c:symbol val="none"/>
          </c:marker>
          <c:dPt>
            <c:idx val="34"/>
            <c:marker>
              <c:symbol val="circle"/>
              <c:size val="5"/>
              <c:spPr>
                <a:solidFill>
                  <a:schemeClr val="accent2"/>
                </a:solidFill>
                <a:ln w="9525">
                  <a:solidFill>
                    <a:schemeClr val="accent2"/>
                  </a:solidFill>
                </a:ln>
                <a:effectLst/>
              </c:spPr>
            </c:marker>
            <c:bubble3D val="0"/>
            <c:extLst xmlns:c16r2="http://schemas.microsoft.com/office/drawing/2015/06/chart">
              <c:ext xmlns:c16="http://schemas.microsoft.com/office/drawing/2014/chart" uri="{C3380CC4-5D6E-409C-BE32-E72D297353CC}">
                <c16:uniqueId val="{00000003-3FC0-4284-8CB4-F3B5F7F9D563}"/>
              </c:ext>
            </c:extLst>
          </c:dPt>
          <c:dLbls>
            <c:dLbl>
              <c:idx val="0"/>
              <c:layout>
                <c:manualLayout>
                  <c:x val="-3.3455605381839559E-2"/>
                  <c:y val="-6.0737976782752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C0-4284-8CB4-F3B5F7F9D563}"/>
                </c:ext>
              </c:extLst>
            </c:dLbl>
            <c:dLbl>
              <c:idx val="34"/>
              <c:layout>
                <c:manualLayout>
                  <c:x val="-3.2050282178784251E-2"/>
                  <c:y val="-4.68490878938640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C0-4284-8CB4-F3B5F7F9D5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fertility'!$G$3:$G$37</c:f>
              <c:numCache>
                <c:formatCode>0.0_ </c:formatCode>
                <c:ptCount val="35"/>
                <c:pt idx="0">
                  <c:v>23.2</c:v>
                </c:pt>
                <c:pt idx="1">
                  <c:v>19.7</c:v>
                </c:pt>
                <c:pt idx="2">
                  <c:v>14.3</c:v>
                </c:pt>
                <c:pt idx="3">
                  <c:v>10.199999999999999</c:v>
                </c:pt>
                <c:pt idx="4">
                  <c:v>8.6</c:v>
                </c:pt>
                <c:pt idx="5">
                  <c:v>8.1999999999999993</c:v>
                </c:pt>
                <c:pt idx="6">
                  <c:v>7.5</c:v>
                </c:pt>
                <c:pt idx="7">
                  <c:v>7.7</c:v>
                </c:pt>
                <c:pt idx="8">
                  <c:v>8.3000000000000007</c:v>
                </c:pt>
                <c:pt idx="9">
                  <c:v>9.4</c:v>
                </c:pt>
                <c:pt idx="10">
                  <c:v>10.6</c:v>
                </c:pt>
                <c:pt idx="11">
                  <c:v>12.4</c:v>
                </c:pt>
                <c:pt idx="12" formatCode="General">
                  <c:v>13.5</c:v>
                </c:pt>
                <c:pt idx="13" formatCode="General">
                  <c:v>14.5</c:v>
                </c:pt>
                <c:pt idx="14" formatCode="General">
                  <c:v>15</c:v>
                </c:pt>
                <c:pt idx="15" formatCode="General">
                  <c:v>15.4</c:v>
                </c:pt>
                <c:pt idx="16" formatCode="General">
                  <c:v>15.4</c:v>
                </c:pt>
                <c:pt idx="17" formatCode="General">
                  <c:v>15.2</c:v>
                </c:pt>
                <c:pt idx="18" formatCode="General">
                  <c:v>15.3</c:v>
                </c:pt>
                <c:pt idx="19" formatCode="General">
                  <c:v>17.2</c:v>
                </c:pt>
                <c:pt idx="20" formatCode="General">
                  <c:v>17</c:v>
                </c:pt>
                <c:pt idx="21" formatCode="General">
                  <c:v>16.600000000000001</c:v>
                </c:pt>
                <c:pt idx="22" formatCode="General">
                  <c:v>17.100000000000001</c:v>
                </c:pt>
                <c:pt idx="23" formatCode="General">
                  <c:v>18.2</c:v>
                </c:pt>
                <c:pt idx="24" formatCode="General">
                  <c:v>18.7</c:v>
                </c:pt>
                <c:pt idx="25" formatCode="General">
                  <c:v>21.2</c:v>
                </c:pt>
                <c:pt idx="26" formatCode="General">
                  <c:v>25.6</c:v>
                </c:pt>
                <c:pt idx="27" formatCode="General">
                  <c:v>26.5</c:v>
                </c:pt>
                <c:pt idx="28" formatCode="General">
                  <c:v>27.3</c:v>
                </c:pt>
                <c:pt idx="29" formatCode="General">
                  <c:v>32.6</c:v>
                </c:pt>
                <c:pt idx="30" formatCode="General">
                  <c:v>35.4</c:v>
                </c:pt>
                <c:pt idx="31" formatCode="General">
                  <c:v>39</c:v>
                </c:pt>
                <c:pt idx="32" formatCode="General">
                  <c:v>39.5</c:v>
                </c:pt>
                <c:pt idx="33" formatCode="General">
                  <c:v>43.2</c:v>
                </c:pt>
                <c:pt idx="34" formatCode="General">
                  <c:v>48.3</c:v>
                </c:pt>
              </c:numCache>
            </c:numRef>
          </c:val>
          <c:smooth val="0"/>
          <c:extLst xmlns:c16r2="http://schemas.microsoft.com/office/drawing/2015/06/chart">
            <c:ext xmlns:c16="http://schemas.microsoft.com/office/drawing/2014/chart" uri="{C3380CC4-5D6E-409C-BE32-E72D297353CC}">
              <c16:uniqueId val="{00000005-3FC0-4284-8CB4-F3B5F7F9D563}"/>
            </c:ext>
          </c:extLst>
        </c:ser>
        <c:dLbls>
          <c:showLegendKey val="0"/>
          <c:showVal val="0"/>
          <c:showCatName val="0"/>
          <c:showSerName val="0"/>
          <c:showPercent val="0"/>
          <c:showBubbleSize val="0"/>
        </c:dLbls>
        <c:marker val="1"/>
        <c:smooth val="0"/>
        <c:axId val="254008704"/>
        <c:axId val="254010880"/>
      </c:lineChart>
      <c:catAx>
        <c:axId val="2540087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4010880"/>
        <c:crosses val="autoZero"/>
        <c:auto val="1"/>
        <c:lblAlgn val="ctr"/>
        <c:lblOffset val="100"/>
        <c:noMultiLvlLbl val="0"/>
      </c:catAx>
      <c:valAx>
        <c:axId val="25401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ASFR per 1,000</a:t>
                </a:r>
              </a:p>
            </c:rich>
          </c:tx>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4008704"/>
        <c:crosses val="autoZero"/>
        <c:crossBetween val="between"/>
      </c:valAx>
      <c:spPr>
        <a:noFill/>
        <a:ln>
          <a:noFill/>
        </a:ln>
        <a:effectLst/>
      </c:spPr>
    </c:plotArea>
    <c:legend>
      <c:legendPos val="b"/>
      <c:layout>
        <c:manualLayout>
          <c:xMode val="edge"/>
          <c:yMode val="edge"/>
          <c:x val="0.3277944006999125"/>
          <c:y val="0.19965223097112858"/>
          <c:w val="0.49953650433573332"/>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ko-K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000"/>
              <a:t>40-44 and 45-49 years </a:t>
            </a:r>
          </a:p>
        </c:rich>
      </c:tx>
      <c:overlay val="0"/>
      <c:spPr>
        <a:noFill/>
        <a:ln>
          <a:noFill/>
        </a:ln>
        <a:effectLst/>
      </c:spPr>
    </c:title>
    <c:autoTitleDeleted val="0"/>
    <c:plotArea>
      <c:layout>
        <c:manualLayout>
          <c:layoutTarget val="inner"/>
          <c:xMode val="edge"/>
          <c:yMode val="edge"/>
          <c:x val="0.17802642211489675"/>
          <c:y val="0.16372558055599229"/>
          <c:w val="0.78761542966260967"/>
          <c:h val="0.58596003912795036"/>
        </c:manualLayout>
      </c:layout>
      <c:lineChart>
        <c:grouping val="standard"/>
        <c:varyColors val="0"/>
        <c:ser>
          <c:idx val="0"/>
          <c:order val="0"/>
          <c:tx>
            <c:v>40-44</c:v>
          </c:tx>
          <c:spPr>
            <a:ln w="28575" cap="rnd">
              <a:solidFill>
                <a:schemeClr val="accent1"/>
              </a:solidFill>
              <a:round/>
            </a:ln>
            <a:effectLst/>
          </c:spPr>
          <c:marker>
            <c:symbol val="none"/>
          </c:marker>
          <c:dPt>
            <c:idx val="0"/>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CADE-496F-AA05-CC2018FED6ED}"/>
              </c:ext>
            </c:extLst>
          </c:dPt>
          <c:dPt>
            <c:idx val="34"/>
            <c:marker>
              <c:symbol val="circle"/>
              <c:size val="5"/>
              <c:spPr>
                <a:solidFill>
                  <a:schemeClr val="accent1"/>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1-CADE-496F-AA05-CC2018FED6ED}"/>
              </c:ext>
            </c:extLst>
          </c:dPt>
          <c:dLbls>
            <c:dLbl>
              <c:idx val="0"/>
              <c:layout>
                <c:manualLayout>
                  <c:x val="-3.7465558236817728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DE-496F-AA05-CC2018FED6ED}"/>
                </c:ext>
              </c:extLst>
            </c:dLbl>
            <c:dLbl>
              <c:idx val="34"/>
              <c:layout>
                <c:manualLayout>
                  <c:x val="-1.5898454194550628E-2"/>
                  <c:y val="-5.5555469498494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DE-496F-AA05-CC2018FED6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fertility'!$H$3:$H$37</c:f>
              <c:numCache>
                <c:formatCode>0.0_ </c:formatCode>
                <c:ptCount val="35"/>
                <c:pt idx="0">
                  <c:v>6.3</c:v>
                </c:pt>
                <c:pt idx="1">
                  <c:v>5.3</c:v>
                </c:pt>
                <c:pt idx="2">
                  <c:v>3.9</c:v>
                </c:pt>
                <c:pt idx="3">
                  <c:v>2.7</c:v>
                </c:pt>
                <c:pt idx="4">
                  <c:v>2.2000000000000002</c:v>
                </c:pt>
                <c:pt idx="5">
                  <c:v>1.9</c:v>
                </c:pt>
                <c:pt idx="6">
                  <c:v>1.7</c:v>
                </c:pt>
                <c:pt idx="7">
                  <c:v>1.5</c:v>
                </c:pt>
                <c:pt idx="8">
                  <c:v>1.5</c:v>
                </c:pt>
                <c:pt idx="9">
                  <c:v>1.5</c:v>
                </c:pt>
                <c:pt idx="10">
                  <c:v>1.5</c:v>
                </c:pt>
                <c:pt idx="11">
                  <c:v>1.7</c:v>
                </c:pt>
                <c:pt idx="12" formatCode="General">
                  <c:v>2</c:v>
                </c:pt>
                <c:pt idx="13" formatCode="General">
                  <c:v>2.2000000000000002</c:v>
                </c:pt>
                <c:pt idx="14" formatCode="General">
                  <c:v>2.4</c:v>
                </c:pt>
                <c:pt idx="15" formatCode="General">
                  <c:v>2.5</c:v>
                </c:pt>
                <c:pt idx="16" formatCode="General">
                  <c:v>2.2999999999999998</c:v>
                </c:pt>
                <c:pt idx="17" formatCode="General">
                  <c:v>2.2999999999999998</c:v>
                </c:pt>
                <c:pt idx="18" formatCode="General">
                  <c:v>2.4</c:v>
                </c:pt>
                <c:pt idx="19" formatCode="General">
                  <c:v>2.5</c:v>
                </c:pt>
                <c:pt idx="20" formatCode="General">
                  <c:v>2.4</c:v>
                </c:pt>
                <c:pt idx="21" formatCode="General">
                  <c:v>2.4</c:v>
                </c:pt>
                <c:pt idx="22" formatCode="General">
                  <c:v>2.4</c:v>
                </c:pt>
                <c:pt idx="23" formatCode="General">
                  <c:v>2.4</c:v>
                </c:pt>
                <c:pt idx="24" formatCode="General">
                  <c:v>2.4</c:v>
                </c:pt>
                <c:pt idx="25" formatCode="General">
                  <c:v>2.6</c:v>
                </c:pt>
                <c:pt idx="26" formatCode="General">
                  <c:v>3.1</c:v>
                </c:pt>
                <c:pt idx="27" formatCode="General">
                  <c:v>3.2</c:v>
                </c:pt>
                <c:pt idx="28" formatCode="General">
                  <c:v>3.4</c:v>
                </c:pt>
                <c:pt idx="29" formatCode="General">
                  <c:v>4.0999999999999996</c:v>
                </c:pt>
                <c:pt idx="30" formatCode="General">
                  <c:v>4.5999999999999996</c:v>
                </c:pt>
                <c:pt idx="31" formatCode="General">
                  <c:v>4.9000000000000004</c:v>
                </c:pt>
                <c:pt idx="32" formatCode="General">
                  <c:v>4.8</c:v>
                </c:pt>
                <c:pt idx="33" formatCode="General">
                  <c:v>5.2</c:v>
                </c:pt>
                <c:pt idx="34" formatCode="General">
                  <c:v>5.6</c:v>
                </c:pt>
              </c:numCache>
            </c:numRef>
          </c:val>
          <c:smooth val="0"/>
          <c:extLst xmlns:c16r2="http://schemas.microsoft.com/office/drawing/2015/06/chart">
            <c:ext xmlns:c16="http://schemas.microsoft.com/office/drawing/2014/chart" uri="{C3380CC4-5D6E-409C-BE32-E72D297353CC}">
              <c16:uniqueId val="{00000002-CADE-496F-AA05-CC2018FED6ED}"/>
            </c:ext>
          </c:extLst>
        </c:ser>
        <c:ser>
          <c:idx val="1"/>
          <c:order val="1"/>
          <c:tx>
            <c:v>45-49</c:v>
          </c:tx>
          <c:spPr>
            <a:ln w="28575" cap="rnd">
              <a:solidFill>
                <a:schemeClr val="accent2"/>
              </a:solidFill>
              <a:round/>
            </a:ln>
            <a:effectLst/>
          </c:spPr>
          <c:marker>
            <c:symbol val="none"/>
          </c:marker>
          <c:dPt>
            <c:idx val="0"/>
            <c:marker>
              <c:symbol val="circle"/>
              <c:size val="5"/>
              <c:spPr>
                <a:solidFill>
                  <a:schemeClr val="accent2"/>
                </a:solidFill>
                <a:ln w="9525">
                  <a:solidFill>
                    <a:schemeClr val="accent2"/>
                  </a:solidFill>
                </a:ln>
                <a:effectLst/>
              </c:spPr>
            </c:marker>
            <c:bubble3D val="0"/>
            <c:extLst xmlns:c16r2="http://schemas.microsoft.com/office/drawing/2015/06/chart">
              <c:ext xmlns:c16="http://schemas.microsoft.com/office/drawing/2014/chart" uri="{C3380CC4-5D6E-409C-BE32-E72D297353CC}">
                <c16:uniqueId val="{00000003-CADE-496F-AA05-CC2018FED6ED}"/>
              </c:ext>
            </c:extLst>
          </c:dPt>
          <c:dPt>
            <c:idx val="34"/>
            <c:marker>
              <c:symbol val="circle"/>
              <c:size val="5"/>
              <c:spPr>
                <a:solidFill>
                  <a:schemeClr val="accent2"/>
                </a:solidFill>
                <a:ln w="9525">
                  <a:solidFill>
                    <a:schemeClr val="accent2"/>
                  </a:solidFill>
                </a:ln>
                <a:effectLst/>
              </c:spPr>
            </c:marker>
            <c:bubble3D val="0"/>
            <c:extLst xmlns:c16r2="http://schemas.microsoft.com/office/drawing/2015/06/chart">
              <c:ext xmlns:c16="http://schemas.microsoft.com/office/drawing/2014/chart" uri="{C3380CC4-5D6E-409C-BE32-E72D297353CC}">
                <c16:uniqueId val="{00000004-CADE-496F-AA05-CC2018FED6ED}"/>
              </c:ext>
            </c:extLst>
          </c:dPt>
          <c:dLbls>
            <c:dLbl>
              <c:idx val="0"/>
              <c:layout>
                <c:manualLayout>
                  <c:x val="-2.3415973898011082E-2"/>
                  <c:y val="-4.6296296296296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DE-496F-AA05-CC2018FED6ED}"/>
                </c:ext>
              </c:extLst>
            </c:dLbl>
            <c:dLbl>
              <c:idx val="34"/>
              <c:layout>
                <c:manualLayout>
                  <c:x val="-1.7639427871407182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ADE-496F-AA05-CC2018FED6E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'[ASFR_South Korea_v4_DS.xlsx]cumulative fertility'!$A$3:$A$37</c:f>
              <c:numCache>
                <c:formatCode>General</c:formatCode>
                <c:ptCount val="35"/>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numCache>
            </c:numRef>
          </c:cat>
          <c:val>
            <c:numRef>
              <c:f>'[ASFR_South Korea_v4_DS.xlsx]cumulative fertility'!$I$3:$I$37</c:f>
              <c:numCache>
                <c:formatCode>0.0_ </c:formatCode>
                <c:ptCount val="35"/>
                <c:pt idx="0">
                  <c:v>1.5</c:v>
                </c:pt>
                <c:pt idx="1">
                  <c:v>1.3</c:v>
                </c:pt>
                <c:pt idx="2">
                  <c:v>0.8</c:v>
                </c:pt>
                <c:pt idx="3">
                  <c:v>0.6</c:v>
                </c:pt>
                <c:pt idx="4">
                  <c:v>0.5</c:v>
                </c:pt>
                <c:pt idx="5">
                  <c:v>0.5</c:v>
                </c:pt>
                <c:pt idx="6">
                  <c:v>0.3</c:v>
                </c:pt>
                <c:pt idx="7">
                  <c:v>0.3</c:v>
                </c:pt>
                <c:pt idx="8">
                  <c:v>0.2</c:v>
                </c:pt>
                <c:pt idx="9">
                  <c:v>0.2</c:v>
                </c:pt>
                <c:pt idx="10">
                  <c:v>0.2</c:v>
                </c:pt>
                <c:pt idx="11">
                  <c:v>0.2</c:v>
                </c:pt>
                <c:pt idx="12" formatCode="General">
                  <c:v>0.2</c:v>
                </c:pt>
                <c:pt idx="13" formatCode="General">
                  <c:v>0.3</c:v>
                </c:pt>
                <c:pt idx="14" formatCode="General">
                  <c:v>0.2</c:v>
                </c:pt>
                <c:pt idx="15" formatCode="General">
                  <c:v>0.2</c:v>
                </c:pt>
                <c:pt idx="16" formatCode="General">
                  <c:v>0.2</c:v>
                </c:pt>
                <c:pt idx="17" formatCode="General">
                  <c:v>0.2</c:v>
                </c:pt>
                <c:pt idx="18" formatCode="General">
                  <c:v>0.2</c:v>
                </c:pt>
                <c:pt idx="19" formatCode="General">
                  <c:v>0.2</c:v>
                </c:pt>
                <c:pt idx="20" formatCode="General">
                  <c:v>0.2</c:v>
                </c:pt>
                <c:pt idx="21" formatCode="General">
                  <c:v>0.2</c:v>
                </c:pt>
                <c:pt idx="22" formatCode="General">
                  <c:v>0.2</c:v>
                </c:pt>
                <c:pt idx="23" formatCode="General">
                  <c:v>0.2</c:v>
                </c:pt>
                <c:pt idx="24" formatCode="General">
                  <c:v>0.2</c:v>
                </c:pt>
                <c:pt idx="25" formatCode="General">
                  <c:v>0.2</c:v>
                </c:pt>
                <c:pt idx="26" formatCode="General">
                  <c:v>0.2</c:v>
                </c:pt>
                <c:pt idx="27" formatCode="General">
                  <c:v>0.2</c:v>
                </c:pt>
                <c:pt idx="28" formatCode="General">
                  <c:v>0.2</c:v>
                </c:pt>
                <c:pt idx="29" formatCode="General">
                  <c:v>0.2</c:v>
                </c:pt>
                <c:pt idx="30" formatCode="General">
                  <c:v>0.2</c:v>
                </c:pt>
                <c:pt idx="31" formatCode="General">
                  <c:v>0.2</c:v>
                </c:pt>
                <c:pt idx="32" formatCode="General">
                  <c:v>0.1</c:v>
                </c:pt>
                <c:pt idx="33" formatCode="General">
                  <c:v>0.1</c:v>
                </c:pt>
                <c:pt idx="34" formatCode="General">
                  <c:v>0.2</c:v>
                </c:pt>
              </c:numCache>
            </c:numRef>
          </c:val>
          <c:smooth val="0"/>
          <c:extLst xmlns:c16r2="http://schemas.microsoft.com/office/drawing/2015/06/chart">
            <c:ext xmlns:c16="http://schemas.microsoft.com/office/drawing/2014/chart" uri="{C3380CC4-5D6E-409C-BE32-E72D297353CC}">
              <c16:uniqueId val="{00000005-CADE-496F-AA05-CC2018FED6ED}"/>
            </c:ext>
          </c:extLst>
        </c:ser>
        <c:dLbls>
          <c:showLegendKey val="0"/>
          <c:showVal val="0"/>
          <c:showCatName val="0"/>
          <c:showSerName val="0"/>
          <c:showPercent val="0"/>
          <c:showBubbleSize val="0"/>
        </c:dLbls>
        <c:marker val="1"/>
        <c:smooth val="0"/>
        <c:axId val="256296448"/>
        <c:axId val="256298368"/>
      </c:lineChart>
      <c:catAx>
        <c:axId val="2562964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6298368"/>
        <c:crosses val="autoZero"/>
        <c:auto val="1"/>
        <c:lblAlgn val="ctr"/>
        <c:lblOffset val="100"/>
        <c:noMultiLvlLbl val="0"/>
      </c:catAx>
      <c:valAx>
        <c:axId val="256298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ASFR per 1,000</a:t>
                </a:r>
              </a:p>
            </c:rich>
          </c:tx>
          <c:layout>
            <c:manualLayout>
              <c:xMode val="edge"/>
              <c:yMode val="edge"/>
              <c:x val="2.8617217550190917E-2"/>
              <c:y val="0.27460537912465738"/>
            </c:manualLayout>
          </c:layout>
          <c:overlay val="0"/>
          <c:spPr>
            <a:noFill/>
            <a:ln>
              <a:noFill/>
            </a:ln>
            <a:effectLst/>
          </c:sp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crossAx val="256296448"/>
        <c:crosses val="autoZero"/>
        <c:crossBetween val="between"/>
      </c:valAx>
      <c:spPr>
        <a:noFill/>
        <a:ln>
          <a:noFill/>
        </a:ln>
        <a:effectLst/>
      </c:spPr>
    </c:plotArea>
    <c:legend>
      <c:legendPos val="b"/>
      <c:layout>
        <c:manualLayout>
          <c:xMode val="edge"/>
          <c:yMode val="edge"/>
          <c:x val="0.32610984354669226"/>
          <c:y val="0.20153838703741367"/>
          <c:w val="0.50572898536188193"/>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solidFill>
      <a:round/>
    </a:ln>
    <a:effectLst/>
  </c:spPr>
  <c:txPr>
    <a:bodyPr/>
    <a:lstStyle/>
    <a:p>
      <a:pPr>
        <a:defRPr b="1"/>
      </a:pPr>
      <a:endParaRPr lang="ko-K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4990182060279"/>
          <c:y val="4.0550289290158657E-2"/>
          <c:w val="0.8518212032143242"/>
          <c:h val="0.77652997243614286"/>
        </c:manualLayout>
      </c:layout>
      <c:lineChart>
        <c:grouping val="standard"/>
        <c:varyColors val="0"/>
        <c:ser>
          <c:idx val="0"/>
          <c:order val="0"/>
          <c:tx>
            <c:strRef>
              <c:f>Data!$C$2</c:f>
              <c:strCache>
                <c:ptCount val="1"/>
                <c:pt idx="0">
                  <c:v>15-19</c:v>
                </c:pt>
              </c:strCache>
            </c:strRef>
          </c:tx>
          <c:spPr>
            <a:ln>
              <a:solidFill>
                <a:schemeClr val="accent1"/>
              </a:solidFill>
            </a:ln>
          </c:spPr>
          <c:marker>
            <c:symbol val="diamond"/>
            <c:size val="8"/>
            <c:spPr>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Data!$C$3:$C$35</c:f>
              <c:numCache>
                <c:formatCode>0.0_ </c:formatCode>
                <c:ptCount val="33"/>
                <c:pt idx="0">
                  <c:v>4.4000000000000004</c:v>
                </c:pt>
                <c:pt idx="1">
                  <c:v>4</c:v>
                </c:pt>
                <c:pt idx="2">
                  <c:v>3.7</c:v>
                </c:pt>
                <c:pt idx="3">
                  <c:v>3.4</c:v>
                </c:pt>
                <c:pt idx="4">
                  <c:v>3</c:v>
                </c:pt>
                <c:pt idx="5">
                  <c:v>2.8</c:v>
                </c:pt>
                <c:pt idx="6">
                  <c:v>2.6</c:v>
                </c:pt>
                <c:pt idx="7">
                  <c:v>2.5</c:v>
                </c:pt>
                <c:pt idx="8">
                  <c:v>2.2000000000000002</c:v>
                </c:pt>
                <c:pt idx="9">
                  <c:v>2.6</c:v>
                </c:pt>
                <c:pt idx="10">
                  <c:v>2.5</c:v>
                </c:pt>
                <c:pt idx="11">
                  <c:v>2.2999999999999998</c:v>
                </c:pt>
                <c:pt idx="12">
                  <c:v>2.1</c:v>
                </c:pt>
                <c:pt idx="13">
                  <c:v>2.2000000000000002</c:v>
                </c:pt>
                <c:pt idx="14">
                  <c:v>2.2000000000000002</c:v>
                </c:pt>
                <c:pt idx="15">
                  <c:v>1.7</c:v>
                </c:pt>
                <c:pt idx="16">
                  <c:v>1.7</c:v>
                </c:pt>
                <c:pt idx="17">
                  <c:v>1.8</c:v>
                </c:pt>
                <c:pt idx="18">
                  <c:v>1.8</c:v>
                </c:pt>
                <c:pt idx="19">
                  <c:v>1.8</c:v>
                </c:pt>
                <c:pt idx="20">
                  <c:v>1.7</c:v>
                </c:pt>
                <c:pt idx="21">
                  <c:v>1.6</c:v>
                </c:pt>
                <c:pt idx="22">
                  <c:v>1.4</c:v>
                </c:pt>
                <c:pt idx="23">
                  <c:v>1.4</c:v>
                </c:pt>
                <c:pt idx="24">
                  <c:v>1.4</c:v>
                </c:pt>
                <c:pt idx="25">
                  <c:v>1.4</c:v>
                </c:pt>
                <c:pt idx="26">
                  <c:v>1.4</c:v>
                </c:pt>
                <c:pt idx="27">
                  <c:v>1.4</c:v>
                </c:pt>
                <c:pt idx="28">
                  <c:v>1.4</c:v>
                </c:pt>
                <c:pt idx="29">
                  <c:v>1.4</c:v>
                </c:pt>
                <c:pt idx="30">
                  <c:v>1.4</c:v>
                </c:pt>
                <c:pt idx="31">
                  <c:v>1.4</c:v>
                </c:pt>
                <c:pt idx="32">
                  <c:v>1.4</c:v>
                </c:pt>
              </c:numCache>
            </c:numRef>
          </c:val>
          <c:smooth val="0"/>
          <c:extLst xmlns:c16r2="http://schemas.microsoft.com/office/drawing/2015/06/chart">
            <c:ext xmlns:c16="http://schemas.microsoft.com/office/drawing/2014/chart" uri="{C3380CC4-5D6E-409C-BE32-E72D297353CC}">
              <c16:uniqueId val="{00000000-7A65-4243-917B-2E2399DD5E94}"/>
            </c:ext>
          </c:extLst>
        </c:ser>
        <c:ser>
          <c:idx val="1"/>
          <c:order val="1"/>
          <c:tx>
            <c:strRef>
              <c:f>Data!$D$2</c:f>
              <c:strCache>
                <c:ptCount val="1"/>
                <c:pt idx="0">
                  <c:v>20-24</c:v>
                </c:pt>
              </c:strCache>
            </c:strRef>
          </c:tx>
          <c:spPr>
            <a:ln>
              <a:solidFill>
                <a:schemeClr val="bg1">
                  <a:lumMod val="50000"/>
                </a:schemeClr>
              </a:solidFill>
            </a:ln>
          </c:spPr>
          <c:marker>
            <c:symbol val="diamond"/>
            <c:size val="8"/>
            <c:spPr>
              <a:solidFill>
                <a:schemeClr val="bg1">
                  <a:lumMod val="50000"/>
                </a:schemeClr>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Data!$D$3:$D$35</c:f>
              <c:numCache>
                <c:formatCode>0.0_ </c:formatCode>
                <c:ptCount val="33"/>
                <c:pt idx="0">
                  <c:v>71.900000000000006</c:v>
                </c:pt>
                <c:pt idx="1">
                  <c:v>65.400000000000006</c:v>
                </c:pt>
                <c:pt idx="2">
                  <c:v>62.4</c:v>
                </c:pt>
                <c:pt idx="3">
                  <c:v>58.5</c:v>
                </c:pt>
                <c:pt idx="4">
                  <c:v>54.2</c:v>
                </c:pt>
                <c:pt idx="5">
                  <c:v>48.3</c:v>
                </c:pt>
                <c:pt idx="6">
                  <c:v>43.3</c:v>
                </c:pt>
                <c:pt idx="7">
                  <c:v>38.799999999999997</c:v>
                </c:pt>
                <c:pt idx="8">
                  <c:v>31.4</c:v>
                </c:pt>
                <c:pt idx="9">
                  <c:v>26.5</c:v>
                </c:pt>
                <c:pt idx="10">
                  <c:v>23.6</c:v>
                </c:pt>
                <c:pt idx="11">
                  <c:v>20.6</c:v>
                </c:pt>
                <c:pt idx="12">
                  <c:v>17.8</c:v>
                </c:pt>
                <c:pt idx="13">
                  <c:v>17.600000000000001</c:v>
                </c:pt>
                <c:pt idx="14">
                  <c:v>19.5</c:v>
                </c:pt>
                <c:pt idx="15">
                  <c:v>18.2</c:v>
                </c:pt>
                <c:pt idx="16">
                  <c:v>16.5</c:v>
                </c:pt>
                <c:pt idx="17">
                  <c:v>16.5</c:v>
                </c:pt>
                <c:pt idx="18">
                  <c:v>16.399999999999999</c:v>
                </c:pt>
                <c:pt idx="19">
                  <c:v>16</c:v>
                </c:pt>
                <c:pt idx="20">
                  <c:v>14</c:v>
                </c:pt>
                <c:pt idx="21">
                  <c:v>13.1</c:v>
                </c:pt>
                <c:pt idx="22">
                  <c:v>12.5</c:v>
                </c:pt>
                <c:pt idx="23">
                  <c:v>12.5</c:v>
                </c:pt>
                <c:pt idx="24">
                  <c:v>12.5</c:v>
                </c:pt>
                <c:pt idx="25">
                  <c:v>12.5</c:v>
                </c:pt>
                <c:pt idx="26">
                  <c:v>12.5</c:v>
                </c:pt>
                <c:pt idx="27">
                  <c:v>12.5</c:v>
                </c:pt>
                <c:pt idx="28">
                  <c:v>12.5</c:v>
                </c:pt>
                <c:pt idx="29">
                  <c:v>12.5</c:v>
                </c:pt>
                <c:pt idx="30">
                  <c:v>12.5</c:v>
                </c:pt>
                <c:pt idx="31">
                  <c:v>12.5</c:v>
                </c:pt>
                <c:pt idx="32">
                  <c:v>12.5</c:v>
                </c:pt>
              </c:numCache>
            </c:numRef>
          </c:val>
          <c:smooth val="0"/>
          <c:extLst xmlns:c16r2="http://schemas.microsoft.com/office/drawing/2015/06/chart">
            <c:ext xmlns:c16="http://schemas.microsoft.com/office/drawing/2014/chart" uri="{C3380CC4-5D6E-409C-BE32-E72D297353CC}">
              <c16:uniqueId val="{00000001-7A65-4243-917B-2E2399DD5E94}"/>
            </c:ext>
          </c:extLst>
        </c:ser>
        <c:ser>
          <c:idx val="2"/>
          <c:order val="2"/>
          <c:tx>
            <c:strRef>
              <c:f>Data!$E$2</c:f>
              <c:strCache>
                <c:ptCount val="1"/>
                <c:pt idx="0">
                  <c:v>25-29</c:v>
                </c:pt>
              </c:strCache>
            </c:strRef>
          </c:tx>
          <c:spPr>
            <a:ln>
              <a:solidFill>
                <a:srgbClr val="FF3300"/>
              </a:solidFill>
            </a:ln>
          </c:spPr>
          <c:marker>
            <c:symbol val="diamond"/>
            <c:size val="8"/>
            <c:spPr>
              <a:solidFill>
                <a:srgbClr val="FF3300"/>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Data!$E$3:$E$35</c:f>
              <c:numCache>
                <c:formatCode>0.0_ </c:formatCode>
                <c:ptCount val="33"/>
                <c:pt idx="0">
                  <c:v>176.5</c:v>
                </c:pt>
                <c:pt idx="1">
                  <c:v>177.5</c:v>
                </c:pt>
                <c:pt idx="2">
                  <c:v>175.3</c:v>
                </c:pt>
                <c:pt idx="3">
                  <c:v>166.3</c:v>
                </c:pt>
                <c:pt idx="4">
                  <c:v>159.69999999999999</c:v>
                </c:pt>
                <c:pt idx="5">
                  <c:v>152.1</c:v>
                </c:pt>
                <c:pt idx="6">
                  <c:v>147.19999999999999</c:v>
                </c:pt>
                <c:pt idx="7">
                  <c:v>149.6</c:v>
                </c:pt>
                <c:pt idx="8">
                  <c:v>129.19999999999999</c:v>
                </c:pt>
                <c:pt idx="9">
                  <c:v>110.9</c:v>
                </c:pt>
                <c:pt idx="10">
                  <c:v>111.7</c:v>
                </c:pt>
                <c:pt idx="11">
                  <c:v>104.5</c:v>
                </c:pt>
                <c:pt idx="12">
                  <c:v>91.7</c:v>
                </c:pt>
                <c:pt idx="13">
                  <c:v>89.4</c:v>
                </c:pt>
                <c:pt idx="14">
                  <c:v>95.5</c:v>
                </c:pt>
                <c:pt idx="15">
                  <c:v>85.6</c:v>
                </c:pt>
                <c:pt idx="16">
                  <c:v>80.400000000000006</c:v>
                </c:pt>
                <c:pt idx="17">
                  <c:v>79.7</c:v>
                </c:pt>
                <c:pt idx="18">
                  <c:v>78.400000000000006</c:v>
                </c:pt>
                <c:pt idx="19">
                  <c:v>77.400000000000006</c:v>
                </c:pt>
                <c:pt idx="20">
                  <c:v>65.900000000000006</c:v>
                </c:pt>
                <c:pt idx="21">
                  <c:v>63.4</c:v>
                </c:pt>
                <c:pt idx="22">
                  <c:v>63.1</c:v>
                </c:pt>
                <c:pt idx="23">
                  <c:v>59.099199999999996</c:v>
                </c:pt>
                <c:pt idx="24">
                  <c:v>56.817500000000024</c:v>
                </c:pt>
                <c:pt idx="25">
                  <c:v>54.814999999999998</c:v>
                </c:pt>
                <c:pt idx="26">
                  <c:v>53.091700000000003</c:v>
                </c:pt>
                <c:pt idx="27">
                  <c:v>51.647600000000011</c:v>
                </c:pt>
                <c:pt idx="28">
                  <c:v>50.482700000000023</c:v>
                </c:pt>
                <c:pt idx="29">
                  <c:v>49.59699999999998</c:v>
                </c:pt>
                <c:pt idx="30">
                  <c:v>48.990499999999997</c:v>
                </c:pt>
                <c:pt idx="31">
                  <c:v>48.663200000000018</c:v>
                </c:pt>
                <c:pt idx="32">
                  <c:v>48.615100000000041</c:v>
                </c:pt>
              </c:numCache>
            </c:numRef>
          </c:val>
          <c:smooth val="0"/>
          <c:extLst xmlns:c16r2="http://schemas.microsoft.com/office/drawing/2015/06/chart">
            <c:ext xmlns:c16="http://schemas.microsoft.com/office/drawing/2014/chart" uri="{C3380CC4-5D6E-409C-BE32-E72D297353CC}">
              <c16:uniqueId val="{00000002-7A65-4243-917B-2E2399DD5E94}"/>
            </c:ext>
          </c:extLst>
        </c:ser>
        <c:ser>
          <c:idx val="3"/>
          <c:order val="3"/>
          <c:tx>
            <c:strRef>
              <c:f>Data!$F$2</c:f>
              <c:strCache>
                <c:ptCount val="1"/>
                <c:pt idx="0">
                  <c:v>30-34</c:v>
                </c:pt>
              </c:strCache>
            </c:strRef>
          </c:tx>
          <c:spPr>
            <a:ln>
              <a:solidFill>
                <a:srgbClr val="FFC000"/>
              </a:solidFill>
            </a:ln>
          </c:spPr>
          <c:marker>
            <c:symbol val="diamond"/>
            <c:size val="8"/>
            <c:spPr>
              <a:solidFill>
                <a:srgbClr val="FFC000"/>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Data!$F$3:$F$35</c:f>
              <c:numCache>
                <c:formatCode>0.0_ </c:formatCode>
                <c:ptCount val="33"/>
                <c:pt idx="0">
                  <c:v>63.2</c:v>
                </c:pt>
                <c:pt idx="1">
                  <c:v>67</c:v>
                </c:pt>
                <c:pt idx="2">
                  <c:v>68.599999999999994</c:v>
                </c:pt>
                <c:pt idx="3">
                  <c:v>70.3</c:v>
                </c:pt>
                <c:pt idx="4">
                  <c:v>71.5</c:v>
                </c:pt>
                <c:pt idx="5">
                  <c:v>71.2</c:v>
                </c:pt>
                <c:pt idx="6">
                  <c:v>72.3</c:v>
                </c:pt>
                <c:pt idx="7">
                  <c:v>83.5</c:v>
                </c:pt>
                <c:pt idx="8">
                  <c:v>77.5</c:v>
                </c:pt>
                <c:pt idx="9">
                  <c:v>74.5</c:v>
                </c:pt>
                <c:pt idx="10">
                  <c:v>79.099999999999994</c:v>
                </c:pt>
                <c:pt idx="11">
                  <c:v>83.2</c:v>
                </c:pt>
                <c:pt idx="12">
                  <c:v>81.5</c:v>
                </c:pt>
                <c:pt idx="13">
                  <c:v>89.4</c:v>
                </c:pt>
                <c:pt idx="14">
                  <c:v>101.3</c:v>
                </c:pt>
                <c:pt idx="15">
                  <c:v>101.5</c:v>
                </c:pt>
                <c:pt idx="16">
                  <c:v>100.8</c:v>
                </c:pt>
                <c:pt idx="17">
                  <c:v>112.4</c:v>
                </c:pt>
                <c:pt idx="18">
                  <c:v>114.4</c:v>
                </c:pt>
                <c:pt idx="19">
                  <c:v>121.9</c:v>
                </c:pt>
                <c:pt idx="20">
                  <c:v>111.4</c:v>
                </c:pt>
                <c:pt idx="21">
                  <c:v>113.8</c:v>
                </c:pt>
                <c:pt idx="22">
                  <c:v>116.8</c:v>
                </c:pt>
                <c:pt idx="23">
                  <c:v>127.20679999999999</c:v>
                </c:pt>
                <c:pt idx="24">
                  <c:v>131.3785</c:v>
                </c:pt>
                <c:pt idx="25">
                  <c:v>135.66879999999998</c:v>
                </c:pt>
                <c:pt idx="26">
                  <c:v>140.07769999999999</c:v>
                </c:pt>
                <c:pt idx="27">
                  <c:v>144.6052</c:v>
                </c:pt>
                <c:pt idx="28">
                  <c:v>149.25129999999999</c:v>
                </c:pt>
                <c:pt idx="29">
                  <c:v>154.01599999999999</c:v>
                </c:pt>
                <c:pt idx="30">
                  <c:v>158.89929999999998</c:v>
                </c:pt>
                <c:pt idx="31">
                  <c:v>163.90119999999999</c:v>
                </c:pt>
                <c:pt idx="32">
                  <c:v>169.02169999999998</c:v>
                </c:pt>
              </c:numCache>
            </c:numRef>
          </c:val>
          <c:smooth val="0"/>
          <c:extLst xmlns:c16r2="http://schemas.microsoft.com/office/drawing/2015/06/chart">
            <c:ext xmlns:c16="http://schemas.microsoft.com/office/drawing/2014/chart" uri="{C3380CC4-5D6E-409C-BE32-E72D297353CC}">
              <c16:uniqueId val="{00000003-7A65-4243-917B-2E2399DD5E94}"/>
            </c:ext>
          </c:extLst>
        </c:ser>
        <c:ser>
          <c:idx val="4"/>
          <c:order val="4"/>
          <c:tx>
            <c:strRef>
              <c:f>Data!$G$2</c:f>
              <c:strCache>
                <c:ptCount val="1"/>
                <c:pt idx="0">
                  <c:v>35-39</c:v>
                </c:pt>
              </c:strCache>
            </c:strRef>
          </c:tx>
          <c:spPr>
            <a:ln>
              <a:solidFill>
                <a:schemeClr val="tx2">
                  <a:lumMod val="60000"/>
                  <a:lumOff val="40000"/>
                </a:schemeClr>
              </a:solidFill>
            </a:ln>
          </c:spPr>
          <c:marker>
            <c:symbol val="diamond"/>
            <c:size val="8"/>
            <c:spPr>
              <a:solidFill>
                <a:schemeClr val="tx2">
                  <a:lumMod val="60000"/>
                  <a:lumOff val="40000"/>
                </a:schemeClr>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Data!$G$3:$G$35</c:f>
              <c:numCache>
                <c:formatCode>0.0_ </c:formatCode>
                <c:ptCount val="33"/>
                <c:pt idx="0">
                  <c:v>13.5</c:v>
                </c:pt>
                <c:pt idx="1">
                  <c:v>14.5</c:v>
                </c:pt>
                <c:pt idx="2">
                  <c:v>15</c:v>
                </c:pt>
                <c:pt idx="3">
                  <c:v>15.4</c:v>
                </c:pt>
                <c:pt idx="4">
                  <c:v>15.4</c:v>
                </c:pt>
                <c:pt idx="5">
                  <c:v>15.2</c:v>
                </c:pt>
                <c:pt idx="6">
                  <c:v>15.3</c:v>
                </c:pt>
                <c:pt idx="7">
                  <c:v>17.2</c:v>
                </c:pt>
                <c:pt idx="8">
                  <c:v>17</c:v>
                </c:pt>
                <c:pt idx="9">
                  <c:v>16.600000000000001</c:v>
                </c:pt>
                <c:pt idx="10">
                  <c:v>17.100000000000001</c:v>
                </c:pt>
                <c:pt idx="11">
                  <c:v>18.2</c:v>
                </c:pt>
                <c:pt idx="12">
                  <c:v>18.7</c:v>
                </c:pt>
                <c:pt idx="13">
                  <c:v>21.2</c:v>
                </c:pt>
                <c:pt idx="14">
                  <c:v>25.6</c:v>
                </c:pt>
                <c:pt idx="15">
                  <c:v>26.5</c:v>
                </c:pt>
                <c:pt idx="16">
                  <c:v>27.3</c:v>
                </c:pt>
                <c:pt idx="17">
                  <c:v>32.6</c:v>
                </c:pt>
                <c:pt idx="18">
                  <c:v>35.4</c:v>
                </c:pt>
                <c:pt idx="19">
                  <c:v>39</c:v>
                </c:pt>
                <c:pt idx="20">
                  <c:v>39.5</c:v>
                </c:pt>
                <c:pt idx="21">
                  <c:v>43.2</c:v>
                </c:pt>
                <c:pt idx="22">
                  <c:v>48.3</c:v>
                </c:pt>
                <c:pt idx="23">
                  <c:v>53.334800000000001</c:v>
                </c:pt>
                <c:pt idx="24">
                  <c:v>58.27</c:v>
                </c:pt>
                <c:pt idx="25">
                  <c:v>63.596399999999996</c:v>
                </c:pt>
                <c:pt idx="26">
                  <c:v>69.328399999999988</c:v>
                </c:pt>
                <c:pt idx="27">
                  <c:v>75.480400000000003</c:v>
                </c:pt>
                <c:pt idx="28">
                  <c:v>82.066800000000001</c:v>
                </c:pt>
                <c:pt idx="29">
                  <c:v>89.102000000000004</c:v>
                </c:pt>
                <c:pt idx="30">
                  <c:v>96.600399999999993</c:v>
                </c:pt>
                <c:pt idx="31">
                  <c:v>104.57639999999999</c:v>
                </c:pt>
                <c:pt idx="32">
                  <c:v>113.0444</c:v>
                </c:pt>
              </c:numCache>
            </c:numRef>
          </c:val>
          <c:smooth val="0"/>
          <c:extLst xmlns:c16r2="http://schemas.microsoft.com/office/drawing/2015/06/chart">
            <c:ext xmlns:c16="http://schemas.microsoft.com/office/drawing/2014/chart" uri="{C3380CC4-5D6E-409C-BE32-E72D297353CC}">
              <c16:uniqueId val="{00000004-7A65-4243-917B-2E2399DD5E94}"/>
            </c:ext>
          </c:extLst>
        </c:ser>
        <c:ser>
          <c:idx val="5"/>
          <c:order val="5"/>
          <c:tx>
            <c:strRef>
              <c:f>Data!$H$2</c:f>
              <c:strCache>
                <c:ptCount val="1"/>
                <c:pt idx="0">
                  <c:v>40-44</c:v>
                </c:pt>
              </c:strCache>
            </c:strRef>
          </c:tx>
          <c:marker>
            <c:symbol val="diamond"/>
            <c:size val="8"/>
            <c:spPr>
              <a:solidFill>
                <a:schemeClr val="accent2">
                  <a:lumMod val="40000"/>
                  <a:lumOff val="60000"/>
                </a:schemeClr>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Data!$H$3:$H$35</c:f>
              <c:numCache>
                <c:formatCode>0.0_ </c:formatCode>
                <c:ptCount val="33"/>
                <c:pt idx="0">
                  <c:v>2</c:v>
                </c:pt>
                <c:pt idx="1">
                  <c:v>2.2000000000000002</c:v>
                </c:pt>
                <c:pt idx="2">
                  <c:v>2.4</c:v>
                </c:pt>
                <c:pt idx="3">
                  <c:v>2.5</c:v>
                </c:pt>
                <c:pt idx="4">
                  <c:v>2.2999999999999998</c:v>
                </c:pt>
                <c:pt idx="5">
                  <c:v>2.2999999999999998</c:v>
                </c:pt>
                <c:pt idx="6">
                  <c:v>2.4</c:v>
                </c:pt>
                <c:pt idx="7">
                  <c:v>2.5</c:v>
                </c:pt>
                <c:pt idx="8">
                  <c:v>2.4</c:v>
                </c:pt>
                <c:pt idx="9">
                  <c:v>2.4</c:v>
                </c:pt>
                <c:pt idx="10">
                  <c:v>2.4</c:v>
                </c:pt>
                <c:pt idx="11">
                  <c:v>2.4</c:v>
                </c:pt>
                <c:pt idx="12">
                  <c:v>2.4</c:v>
                </c:pt>
                <c:pt idx="13">
                  <c:v>2.6</c:v>
                </c:pt>
                <c:pt idx="14">
                  <c:v>3.1</c:v>
                </c:pt>
                <c:pt idx="15">
                  <c:v>3.2</c:v>
                </c:pt>
                <c:pt idx="16">
                  <c:v>3.4</c:v>
                </c:pt>
                <c:pt idx="17">
                  <c:v>4.0999999999999996</c:v>
                </c:pt>
                <c:pt idx="18">
                  <c:v>4.5999999999999996</c:v>
                </c:pt>
                <c:pt idx="19">
                  <c:v>4.9000000000000004</c:v>
                </c:pt>
                <c:pt idx="20">
                  <c:v>4.8</c:v>
                </c:pt>
                <c:pt idx="21">
                  <c:v>5.2</c:v>
                </c:pt>
                <c:pt idx="22">
                  <c:v>5.6</c:v>
                </c:pt>
                <c:pt idx="23">
                  <c:v>6.3346</c:v>
                </c:pt>
                <c:pt idx="24">
                  <c:v>6.9291999999999998</c:v>
                </c:pt>
                <c:pt idx="25">
                  <c:v>7.5785999999999998</c:v>
                </c:pt>
                <c:pt idx="26">
                  <c:v>8.2851999999999997</c:v>
                </c:pt>
                <c:pt idx="27">
                  <c:v>9.0514000000000028</c:v>
                </c:pt>
                <c:pt idx="28">
                  <c:v>9.8796000000000017</c:v>
                </c:pt>
                <c:pt idx="29">
                  <c:v>10.772200000000002</c:v>
                </c:pt>
                <c:pt idx="30">
                  <c:v>11.731600000000002</c:v>
                </c:pt>
                <c:pt idx="31">
                  <c:v>12.760200000000001</c:v>
                </c:pt>
                <c:pt idx="32">
                  <c:v>13.8604</c:v>
                </c:pt>
              </c:numCache>
            </c:numRef>
          </c:val>
          <c:smooth val="0"/>
          <c:extLst xmlns:c16r2="http://schemas.microsoft.com/office/drawing/2015/06/chart">
            <c:ext xmlns:c16="http://schemas.microsoft.com/office/drawing/2014/chart" uri="{C3380CC4-5D6E-409C-BE32-E72D297353CC}">
              <c16:uniqueId val="{00000005-7A65-4243-917B-2E2399DD5E94}"/>
            </c:ext>
          </c:extLst>
        </c:ser>
        <c:ser>
          <c:idx val="6"/>
          <c:order val="6"/>
          <c:tx>
            <c:strRef>
              <c:f>Data!$I$2</c:f>
              <c:strCache>
                <c:ptCount val="1"/>
                <c:pt idx="0">
                  <c:v>45-49</c:v>
                </c:pt>
              </c:strCache>
            </c:strRef>
          </c:tx>
          <c:spPr>
            <a:ln>
              <a:solidFill>
                <a:srgbClr val="00CC99"/>
              </a:solidFill>
            </a:ln>
          </c:spPr>
          <c:marker>
            <c:symbol val="diamond"/>
            <c:size val="8"/>
            <c:spPr>
              <a:solidFill>
                <a:srgbClr val="00CC99"/>
              </a:solidFill>
              <a:ln>
                <a:solidFill>
                  <a:schemeClr val="tx1"/>
                </a:solidFill>
              </a:ln>
            </c:spPr>
          </c:marker>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Data!$I$3:$I$35</c:f>
              <c:numCache>
                <c:formatCode>0.0_ </c:formatCode>
                <c:ptCount val="33"/>
                <c:pt idx="0">
                  <c:v>0.2</c:v>
                </c:pt>
                <c:pt idx="1">
                  <c:v>0.3</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0.1</c:v>
                </c:pt>
                <c:pt idx="21">
                  <c:v>0.1</c:v>
                </c:pt>
                <c:pt idx="22">
                  <c:v>0.2</c:v>
                </c:pt>
                <c:pt idx="23">
                  <c:v>0.2</c:v>
                </c:pt>
                <c:pt idx="24">
                  <c:v>0.2</c:v>
                </c:pt>
                <c:pt idx="25">
                  <c:v>0.2</c:v>
                </c:pt>
                <c:pt idx="26">
                  <c:v>0.2</c:v>
                </c:pt>
                <c:pt idx="27">
                  <c:v>0.2</c:v>
                </c:pt>
                <c:pt idx="28">
                  <c:v>0.2</c:v>
                </c:pt>
                <c:pt idx="29">
                  <c:v>0.2</c:v>
                </c:pt>
                <c:pt idx="30">
                  <c:v>0.2</c:v>
                </c:pt>
                <c:pt idx="31">
                  <c:v>0.2</c:v>
                </c:pt>
                <c:pt idx="32">
                  <c:v>0.2</c:v>
                </c:pt>
              </c:numCache>
            </c:numRef>
          </c:val>
          <c:smooth val="0"/>
          <c:extLst xmlns:c16r2="http://schemas.microsoft.com/office/drawing/2015/06/chart">
            <c:ext xmlns:c16="http://schemas.microsoft.com/office/drawing/2014/chart" uri="{C3380CC4-5D6E-409C-BE32-E72D297353CC}">
              <c16:uniqueId val="{00000006-7A65-4243-917B-2E2399DD5E94}"/>
            </c:ext>
          </c:extLst>
        </c:ser>
        <c:dLbls>
          <c:showLegendKey val="0"/>
          <c:showVal val="0"/>
          <c:showCatName val="0"/>
          <c:showSerName val="0"/>
          <c:showPercent val="0"/>
          <c:showBubbleSize val="0"/>
        </c:dLbls>
        <c:marker val="1"/>
        <c:smooth val="0"/>
        <c:axId val="256486784"/>
        <c:axId val="256493440"/>
      </c:lineChart>
      <c:catAx>
        <c:axId val="256486784"/>
        <c:scaling>
          <c:orientation val="minMax"/>
        </c:scaling>
        <c:delete val="0"/>
        <c:axPos val="b"/>
        <c:title>
          <c:tx>
            <c:rich>
              <a:bodyPr/>
              <a:lstStyle/>
              <a:p>
                <a:pPr>
                  <a:defRPr b="1"/>
                </a:pPr>
                <a:r>
                  <a:rPr lang="en-US" altLang="ko-KR" b="1"/>
                  <a:t>Year</a:t>
                </a:r>
                <a:endParaRPr lang="ko-KR" altLang="en-US" b="1"/>
              </a:p>
            </c:rich>
          </c:tx>
          <c:overlay val="0"/>
        </c:title>
        <c:numFmt formatCode="General" sourceLinked="1"/>
        <c:majorTickMark val="out"/>
        <c:minorTickMark val="none"/>
        <c:tickLblPos val="nextTo"/>
        <c:txPr>
          <a:bodyPr rot="-2700000"/>
          <a:lstStyle/>
          <a:p>
            <a:pPr>
              <a:defRPr sz="900"/>
            </a:pPr>
            <a:endParaRPr lang="ko-KR"/>
          </a:p>
        </c:txPr>
        <c:crossAx val="256493440"/>
        <c:crosses val="autoZero"/>
        <c:auto val="1"/>
        <c:lblAlgn val="ctr"/>
        <c:lblOffset val="100"/>
        <c:noMultiLvlLbl val="0"/>
      </c:catAx>
      <c:valAx>
        <c:axId val="256493440"/>
        <c:scaling>
          <c:orientation val="minMax"/>
          <c:max val="200"/>
        </c:scaling>
        <c:delete val="0"/>
        <c:axPos val="l"/>
        <c:majorGridlines>
          <c:spPr>
            <a:ln>
              <a:solidFill>
                <a:schemeClr val="bg1">
                  <a:lumMod val="75000"/>
                </a:schemeClr>
              </a:solidFill>
            </a:ln>
          </c:spPr>
        </c:majorGridlines>
        <c:title>
          <c:tx>
            <c:rich>
              <a:bodyPr rot="-5400000" vert="horz"/>
              <a:lstStyle/>
              <a:p>
                <a:pPr>
                  <a:defRPr b="1"/>
                </a:pPr>
                <a:r>
                  <a:rPr lang="en-US" altLang="ko-KR" b="1"/>
                  <a:t>ASFR</a:t>
                </a:r>
                <a:r>
                  <a:rPr lang="en-US" altLang="ko-KR" b="1" baseline="0"/>
                  <a:t> per 1,000</a:t>
                </a:r>
                <a:endParaRPr lang="ko-KR" altLang="en-US" b="1"/>
              </a:p>
            </c:rich>
          </c:tx>
          <c:overlay val="0"/>
        </c:title>
        <c:numFmt formatCode="#,##0" sourceLinked="0"/>
        <c:majorTickMark val="out"/>
        <c:minorTickMark val="none"/>
        <c:tickLblPos val="nextTo"/>
        <c:spPr>
          <a:ln>
            <a:noFill/>
          </a:ln>
        </c:spPr>
        <c:txPr>
          <a:bodyPr/>
          <a:lstStyle/>
          <a:p>
            <a:pPr>
              <a:defRPr sz="900"/>
            </a:pPr>
            <a:endParaRPr lang="ko-KR"/>
          </a:p>
        </c:txPr>
        <c:crossAx val="256486784"/>
        <c:crosses val="autoZero"/>
        <c:crossBetween val="between"/>
      </c:valAx>
      <c:spPr>
        <a:noFill/>
        <a:ln w="25400">
          <a:noFill/>
        </a:ln>
      </c:spPr>
    </c:plotArea>
    <c:legend>
      <c:legendPos val="r"/>
      <c:layout>
        <c:manualLayout>
          <c:xMode val="edge"/>
          <c:yMode val="edge"/>
          <c:x val="0.39910196507967755"/>
          <c:y val="4.0052474467073981E-2"/>
          <c:w val="0.13420884141448539"/>
          <c:h val="0.32386958311534503"/>
        </c:manualLayout>
      </c:layout>
      <c:overlay val="0"/>
      <c:spPr>
        <a:solidFill>
          <a:schemeClr val="bg1"/>
        </a:solidFill>
        <a:ln w="12700">
          <a:solidFill>
            <a:schemeClr val="tx1"/>
          </a:solidFill>
        </a:ln>
      </c:spPr>
      <c:txPr>
        <a:bodyPr/>
        <a:lstStyle/>
        <a:p>
          <a:pPr>
            <a:defRPr sz="1000"/>
          </a:pPr>
          <a:endParaRPr lang="ko-KR"/>
        </a:p>
      </c:txPr>
    </c:legend>
    <c:plotVisOnly val="1"/>
    <c:dispBlanksAs val="gap"/>
    <c:showDLblsOverMax val="0"/>
  </c:chart>
  <c:spPr>
    <a:ln>
      <a:solidFill>
        <a:schemeClr val="tx1"/>
      </a:solid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716535433070872E-2"/>
          <c:y val="4.1829052730717763E-2"/>
          <c:w val="0.88457247649272797"/>
          <c:h val="0.78087616931194315"/>
        </c:manualLayout>
      </c:layout>
      <c:lineChart>
        <c:grouping val="standard"/>
        <c:varyColors val="0"/>
        <c:ser>
          <c:idx val="0"/>
          <c:order val="0"/>
          <c:tx>
            <c:strRef>
              <c:f>Data!$B$1</c:f>
              <c:strCache>
                <c:ptCount val="1"/>
                <c:pt idx="0">
                  <c:v>TFR</c:v>
                </c:pt>
              </c:strCache>
            </c:strRef>
          </c:tx>
          <c:spPr>
            <a:ln w="28575" cap="rnd">
              <a:solidFill>
                <a:schemeClr val="tx1"/>
              </a:solidFill>
              <a:round/>
            </a:ln>
            <a:effectLst/>
          </c:spPr>
          <c:marker>
            <c:symbol val="square"/>
            <c:size val="8"/>
            <c:spPr>
              <a:solidFill>
                <a:schemeClr val="tx2">
                  <a:lumMod val="60000"/>
                  <a:lumOff val="40000"/>
                </a:schemeClr>
              </a:solidFill>
              <a:ln w="12700">
                <a:solidFill>
                  <a:schemeClr val="tx1"/>
                </a:solidFill>
              </a:ln>
              <a:effectLst/>
            </c:spPr>
          </c:marker>
          <c:dPt>
            <c:idx val="24"/>
            <c:bubble3D val="0"/>
            <c:extLst xmlns:c16r2="http://schemas.microsoft.com/office/drawing/2015/06/chart">
              <c:ext xmlns:c16="http://schemas.microsoft.com/office/drawing/2014/chart" uri="{C3380CC4-5D6E-409C-BE32-E72D297353CC}">
                <c16:uniqueId val="{00000000-CC44-4667-B85C-42FB9842C071}"/>
              </c:ext>
            </c:extLst>
          </c:dPt>
          <c:dPt>
            <c:idx val="31"/>
            <c:marker>
              <c:spPr>
                <a:solidFill>
                  <a:srgbClr val="FF0000"/>
                </a:solidFill>
                <a:ln w="12700">
                  <a:solidFill>
                    <a:schemeClr val="tx1"/>
                  </a:solidFill>
                </a:ln>
                <a:effectLst/>
              </c:spPr>
            </c:marker>
            <c:bubble3D val="0"/>
            <c:extLst xmlns:c16r2="http://schemas.microsoft.com/office/drawing/2015/06/chart">
              <c:ext xmlns:c16="http://schemas.microsoft.com/office/drawing/2014/chart" uri="{C3380CC4-5D6E-409C-BE32-E72D297353CC}">
                <c16:uniqueId val="{00000001-CC44-4667-B85C-42FB9842C071}"/>
              </c:ext>
            </c:extLst>
          </c:dPt>
          <c:dLbls>
            <c:dLbl>
              <c:idx val="0"/>
              <c:layout>
                <c:manualLayout>
                  <c:x val="-3.041223536471134E-2"/>
                  <c:y val="-6.6583677713070277E-2"/>
                </c:manualLayout>
              </c:layout>
              <c:tx>
                <c:rich>
                  <a:bodyPr/>
                  <a:lstStyle/>
                  <a:p>
                    <a:r>
                      <a:rPr lang="en-US" altLang="en-US" sz="900"/>
                      <a:t>1.654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86-4B09-96BF-0F2BFBAB1EB1}"/>
                </c:ext>
              </c:extLst>
            </c:dLbl>
            <c:dLbl>
              <c:idx val="31"/>
              <c:layout>
                <c:manualLayout>
                  <c:x val="-6.736639878778039E-2"/>
                  <c:y val="-6.911855453804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44-4667-B85C-42FB9842C071}"/>
                </c:ext>
              </c:extLst>
            </c:dLbl>
            <c:spPr>
              <a:solidFill>
                <a:srgbClr val="FFFF99"/>
              </a:solidFill>
              <a:ln>
                <a:solidFill>
                  <a:schemeClr val="tx1"/>
                </a:solidFill>
              </a:ln>
            </c:spPr>
            <c:txPr>
              <a:bodyPr/>
              <a:lstStyle/>
              <a:p>
                <a:pPr>
                  <a:defRPr sz="900"/>
                </a:pPr>
                <a:endParaRPr lang="ko-K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Data!$A$3:$A$35</c:f>
              <c:numCache>
                <c:formatCode>General</c:formatCode>
                <c:ptCount val="33"/>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Data!$B$3:$B$35</c:f>
              <c:numCache>
                <c:formatCode>#,##0.000</c:formatCode>
                <c:ptCount val="33"/>
                <c:pt idx="0">
                  <c:v>1.6539999999999999</c:v>
                </c:pt>
                <c:pt idx="1">
                  <c:v>1.6559999999999999</c:v>
                </c:pt>
                <c:pt idx="2">
                  <c:v>1.6339999999999999</c:v>
                </c:pt>
                <c:pt idx="3">
                  <c:v>1.5740000000000001</c:v>
                </c:pt>
                <c:pt idx="4">
                  <c:v>1.52</c:v>
                </c:pt>
                <c:pt idx="5">
                  <c:v>1.448</c:v>
                </c:pt>
                <c:pt idx="6">
                  <c:v>1.41</c:v>
                </c:pt>
                <c:pt idx="7">
                  <c:v>1.4670000000000001</c:v>
                </c:pt>
                <c:pt idx="8">
                  <c:v>1.2969999999999999</c:v>
                </c:pt>
                <c:pt idx="9">
                  <c:v>1.1659999999999999</c:v>
                </c:pt>
                <c:pt idx="10">
                  <c:v>1.18</c:v>
                </c:pt>
                <c:pt idx="11">
                  <c:v>1.1539999999999999</c:v>
                </c:pt>
                <c:pt idx="12">
                  <c:v>1.0760000000000001</c:v>
                </c:pt>
                <c:pt idx="13">
                  <c:v>1.123</c:v>
                </c:pt>
                <c:pt idx="14">
                  <c:v>1.25</c:v>
                </c:pt>
                <c:pt idx="15">
                  <c:v>1.1919999999999999</c:v>
                </c:pt>
                <c:pt idx="16">
                  <c:v>1.149</c:v>
                </c:pt>
                <c:pt idx="17">
                  <c:v>1.226</c:v>
                </c:pt>
                <c:pt idx="18">
                  <c:v>1.244</c:v>
                </c:pt>
                <c:pt idx="19">
                  <c:v>1.2969999999999999</c:v>
                </c:pt>
                <c:pt idx="20">
                  <c:v>1.1870000000000001</c:v>
                </c:pt>
                <c:pt idx="21">
                  <c:v>1.2050000000000001</c:v>
                </c:pt>
                <c:pt idx="22">
                  <c:v>1.24</c:v>
                </c:pt>
                <c:pt idx="23">
                  <c:v>1.3003769999999999</c:v>
                </c:pt>
                <c:pt idx="24">
                  <c:v>1.3374760000000001</c:v>
                </c:pt>
                <c:pt idx="25">
                  <c:v>1.3787939999999999</c:v>
                </c:pt>
                <c:pt idx="26">
                  <c:v>1.4244149999999995</c:v>
                </c:pt>
                <c:pt idx="27">
                  <c:v>1.4744229999999998</c:v>
                </c:pt>
                <c:pt idx="28">
                  <c:v>1.528902</c:v>
                </c:pt>
                <c:pt idx="29">
                  <c:v>1.587936</c:v>
                </c:pt>
                <c:pt idx="30">
                  <c:v>1.6516089999999999</c:v>
                </c:pt>
                <c:pt idx="31">
                  <c:v>1.7200049999999998</c:v>
                </c:pt>
                <c:pt idx="32">
                  <c:v>1.7932080000000001</c:v>
                </c:pt>
              </c:numCache>
            </c:numRef>
          </c:val>
          <c:smooth val="0"/>
          <c:extLst xmlns:c16r2="http://schemas.microsoft.com/office/drawing/2015/06/chart">
            <c:ext xmlns:c16="http://schemas.microsoft.com/office/drawing/2014/chart" uri="{C3380CC4-5D6E-409C-BE32-E72D297353CC}">
              <c16:uniqueId val="{00000003-CC44-4667-B85C-42FB9842C071}"/>
            </c:ext>
          </c:extLst>
        </c:ser>
        <c:dLbls>
          <c:showLegendKey val="0"/>
          <c:showVal val="0"/>
          <c:showCatName val="0"/>
          <c:showSerName val="0"/>
          <c:showPercent val="0"/>
          <c:showBubbleSize val="0"/>
        </c:dLbls>
        <c:marker val="1"/>
        <c:smooth val="0"/>
        <c:axId val="253802368"/>
        <c:axId val="253812736"/>
      </c:lineChart>
      <c:catAx>
        <c:axId val="253802368"/>
        <c:scaling>
          <c:orientation val="minMax"/>
        </c:scaling>
        <c:delete val="0"/>
        <c:axPos val="b"/>
        <c:title>
          <c:tx>
            <c:rich>
              <a:bodyPr/>
              <a:lstStyle/>
              <a:p>
                <a:pPr>
                  <a:defRPr/>
                </a:pPr>
                <a:r>
                  <a:rPr lang="en-US" altLang="ko-KR"/>
                  <a:t>Year</a:t>
                </a:r>
                <a:endParaRPr lang="ko-KR" altLang="en-US"/>
              </a:p>
            </c:rich>
          </c:tx>
          <c:layout>
            <c:manualLayout>
              <c:xMode val="edge"/>
              <c:yMode val="edge"/>
              <c:x val="0.48130115178901606"/>
              <c:y val="0.91519331243469171"/>
            </c:manualLayout>
          </c:layout>
          <c:overlay val="0"/>
        </c:title>
        <c:numFmt formatCode="General" sourceLinked="1"/>
        <c:majorTickMark val="out"/>
        <c:minorTickMark val="none"/>
        <c:tickLblPos val="nextTo"/>
        <c:spPr>
          <a:noFill/>
          <a:ln w="9525" cap="flat" cmpd="sng" algn="ctr">
            <a:solidFill>
              <a:schemeClr val="tx1"/>
            </a:solidFill>
            <a:round/>
          </a:ln>
          <a:effectLst/>
        </c:spPr>
        <c:txPr>
          <a:bodyPr rot="-21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ko-KR"/>
          </a:p>
        </c:txPr>
        <c:crossAx val="253812736"/>
        <c:crosses val="autoZero"/>
        <c:auto val="1"/>
        <c:lblAlgn val="ctr"/>
        <c:lblOffset val="100"/>
        <c:noMultiLvlLbl val="0"/>
      </c:catAx>
      <c:valAx>
        <c:axId val="253812736"/>
        <c:scaling>
          <c:orientation val="minMax"/>
        </c:scaling>
        <c:delete val="0"/>
        <c:axPos val="l"/>
        <c:majorGridlines>
          <c:spPr>
            <a:ln w="9525" cap="flat" cmpd="sng" algn="ctr">
              <a:solidFill>
                <a:schemeClr val="bg1">
                  <a:lumMod val="75000"/>
                </a:schemeClr>
              </a:solidFill>
              <a:round/>
            </a:ln>
            <a:effectLst/>
          </c:spPr>
        </c:majorGridlines>
        <c:numFmt formatCode="0.0_ "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ko-KR"/>
          </a:p>
        </c:txPr>
        <c:crossAx val="253802368"/>
        <c:crosses val="autoZero"/>
        <c:crossBetween val="between"/>
        <c:majorUnit val="0.2"/>
      </c:valAx>
      <c:spPr>
        <a:noFill/>
        <a:ln w="9525">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ko-K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tLang="ko-KR" sz="800" b="0"/>
              <a:t>Q:</a:t>
            </a:r>
            <a:r>
              <a:rPr lang="en-US" altLang="ko-KR" sz="800" b="0" baseline="0"/>
              <a:t> What is the most urgent issue to address in order to resolve the problem of low births?</a:t>
            </a:r>
            <a:r>
              <a:rPr lang="en-US" altLang="ko-KR" sz="800" b="0"/>
              <a:t>    </a:t>
            </a:r>
            <a:endParaRPr lang="ko-KR" altLang="en-US" sz="800" b="0"/>
          </a:p>
        </c:rich>
      </c:tx>
      <c:layout>
        <c:manualLayout>
          <c:xMode val="edge"/>
          <c:yMode val="edge"/>
          <c:x val="0.11094182576493007"/>
          <c:y val="1.9770237465376119E-2"/>
        </c:manualLayout>
      </c:layout>
      <c:overlay val="1"/>
    </c:title>
    <c:autoTitleDeleted val="0"/>
    <c:plotArea>
      <c:layout>
        <c:manualLayout>
          <c:layoutTarget val="inner"/>
          <c:xMode val="edge"/>
          <c:yMode val="edge"/>
          <c:x val="7.3557201879841508E-2"/>
          <c:y val="0.12982828109924996"/>
          <c:w val="0.90140959263653686"/>
          <c:h val="0.60955774796925088"/>
        </c:manualLayout>
      </c:layout>
      <c:barChart>
        <c:barDir val="col"/>
        <c:grouping val="clustered"/>
        <c:varyColors val="0"/>
        <c:ser>
          <c:idx val="0"/>
          <c:order val="0"/>
          <c:tx>
            <c:strRef>
              <c:f>'[ASFR_South Korea_v12.xlsx]Asan Poll'!$D$17</c:f>
              <c:strCache>
                <c:ptCount val="1"/>
                <c:pt idx="0">
                  <c:v>Men 20's</c:v>
                </c:pt>
              </c:strCache>
            </c:strRef>
          </c:tx>
          <c:spPr>
            <a:solidFill>
              <a:schemeClr val="tx2">
                <a:lumMod val="20000"/>
                <a:lumOff val="80000"/>
              </a:schemeClr>
            </a:solidFill>
            <a:ln>
              <a:solidFill>
                <a:schemeClr val="tx1"/>
              </a:solidFill>
            </a:ln>
          </c:spPr>
          <c:invertIfNegative val="0"/>
          <c:cat>
            <c:strRef>
              <c:f>'[ASFR_South Korea_v12.xlsx]Asan Poll'!$E$16:$K$16</c:f>
              <c:strCache>
                <c:ptCount val="7"/>
                <c:pt idx="0">
                  <c:v>Extended financial support from the government</c:v>
                </c:pt>
                <c:pt idx="1">
                  <c:v>More childcare facilities</c:v>
                </c:pt>
                <c:pt idx="2">
                  <c:v>Education reform</c:v>
                </c:pt>
                <c:pt idx="3">
                  <c:v>Resolving work and family conflict</c:v>
                </c:pt>
                <c:pt idx="4">
                  <c:v>More childcare responsibilities for father</c:v>
                </c:pt>
                <c:pt idx="5">
                  <c:v>Preventing discrimination against married women</c:v>
                </c:pt>
                <c:pt idx="6">
                  <c:v>Other</c:v>
                </c:pt>
              </c:strCache>
            </c:strRef>
          </c:cat>
          <c:val>
            <c:numRef>
              <c:f>'[ASFR_South Korea_v12.xlsx]Asan Poll'!$E$17:$K$17</c:f>
              <c:numCache>
                <c:formatCode>0.0%</c:formatCode>
                <c:ptCount val="7"/>
                <c:pt idx="0">
                  <c:v>0.25800000000000001</c:v>
                </c:pt>
                <c:pt idx="1">
                  <c:v>0.10100000000000001</c:v>
                </c:pt>
                <c:pt idx="2">
                  <c:v>0.13500000000000001</c:v>
                </c:pt>
                <c:pt idx="3">
                  <c:v>0.34799999999999998</c:v>
                </c:pt>
                <c:pt idx="4">
                  <c:v>5.6000000000000001E-2</c:v>
                </c:pt>
                <c:pt idx="5">
                  <c:v>6.7000000000000004E-2</c:v>
                </c:pt>
                <c:pt idx="6">
                  <c:v>3.3000000000000002E-2</c:v>
                </c:pt>
              </c:numCache>
            </c:numRef>
          </c:val>
          <c:extLst xmlns:c16r2="http://schemas.microsoft.com/office/drawing/2015/06/chart">
            <c:ext xmlns:c16="http://schemas.microsoft.com/office/drawing/2014/chart" uri="{C3380CC4-5D6E-409C-BE32-E72D297353CC}">
              <c16:uniqueId val="{00000000-DFDE-44A3-8AC2-80C4B5528DB1}"/>
            </c:ext>
          </c:extLst>
        </c:ser>
        <c:ser>
          <c:idx val="1"/>
          <c:order val="1"/>
          <c:tx>
            <c:strRef>
              <c:f>'[ASFR_South Korea_v12.xlsx]Asan Poll'!$D$18</c:f>
              <c:strCache>
                <c:ptCount val="1"/>
                <c:pt idx="0">
                  <c:v>Men 30's</c:v>
                </c:pt>
              </c:strCache>
            </c:strRef>
          </c:tx>
          <c:spPr>
            <a:solidFill>
              <a:schemeClr val="tx2">
                <a:lumMod val="40000"/>
                <a:lumOff val="60000"/>
              </a:schemeClr>
            </a:solidFill>
            <a:ln>
              <a:solidFill>
                <a:schemeClr val="tx1"/>
              </a:solidFill>
            </a:ln>
          </c:spPr>
          <c:invertIfNegative val="0"/>
          <c:cat>
            <c:strRef>
              <c:f>'[ASFR_South Korea_v12.xlsx]Asan Poll'!$E$16:$K$16</c:f>
              <c:strCache>
                <c:ptCount val="7"/>
                <c:pt idx="0">
                  <c:v>Extended financial support from the government</c:v>
                </c:pt>
                <c:pt idx="1">
                  <c:v>More childcare facilities</c:v>
                </c:pt>
                <c:pt idx="2">
                  <c:v>Education reform</c:v>
                </c:pt>
                <c:pt idx="3">
                  <c:v>Resolving work and family conflict</c:v>
                </c:pt>
                <c:pt idx="4">
                  <c:v>More childcare responsibilities for father</c:v>
                </c:pt>
                <c:pt idx="5">
                  <c:v>Preventing discrimination against married women</c:v>
                </c:pt>
                <c:pt idx="6">
                  <c:v>Other</c:v>
                </c:pt>
              </c:strCache>
            </c:strRef>
          </c:cat>
          <c:val>
            <c:numRef>
              <c:f>'[ASFR_South Korea_v12.xlsx]Asan Poll'!$E$18:$K$18</c:f>
              <c:numCache>
                <c:formatCode>0.0%</c:formatCode>
                <c:ptCount val="7"/>
                <c:pt idx="0">
                  <c:v>0.247</c:v>
                </c:pt>
                <c:pt idx="1">
                  <c:v>0.111</c:v>
                </c:pt>
                <c:pt idx="2">
                  <c:v>0.123</c:v>
                </c:pt>
                <c:pt idx="3">
                  <c:v>0.40699999999999997</c:v>
                </c:pt>
                <c:pt idx="4">
                  <c:v>2.5000000000000001E-2</c:v>
                </c:pt>
                <c:pt idx="5">
                  <c:v>3.6999999999999998E-2</c:v>
                </c:pt>
                <c:pt idx="6">
                  <c:v>4.9000000000000002E-2</c:v>
                </c:pt>
              </c:numCache>
            </c:numRef>
          </c:val>
          <c:extLst xmlns:c16r2="http://schemas.microsoft.com/office/drawing/2015/06/chart">
            <c:ext xmlns:c16="http://schemas.microsoft.com/office/drawing/2014/chart" uri="{C3380CC4-5D6E-409C-BE32-E72D297353CC}">
              <c16:uniqueId val="{00000001-DFDE-44A3-8AC2-80C4B5528DB1}"/>
            </c:ext>
          </c:extLst>
        </c:ser>
        <c:ser>
          <c:idx val="2"/>
          <c:order val="2"/>
          <c:tx>
            <c:strRef>
              <c:f>'[ASFR_South Korea_v12.xlsx]Asan Poll'!$D$20</c:f>
              <c:strCache>
                <c:ptCount val="1"/>
                <c:pt idx="0">
                  <c:v>Women 20's</c:v>
                </c:pt>
              </c:strCache>
            </c:strRef>
          </c:tx>
          <c:spPr>
            <a:solidFill>
              <a:schemeClr val="accent2">
                <a:lumMod val="20000"/>
                <a:lumOff val="80000"/>
              </a:schemeClr>
            </a:solidFill>
            <a:ln>
              <a:solidFill>
                <a:schemeClr val="tx1"/>
              </a:solidFill>
            </a:ln>
          </c:spPr>
          <c:invertIfNegative val="0"/>
          <c:cat>
            <c:strRef>
              <c:f>'[ASFR_South Korea_v12.xlsx]Asan Poll'!$E$16:$K$16</c:f>
              <c:strCache>
                <c:ptCount val="7"/>
                <c:pt idx="0">
                  <c:v>Extended financial support from the government</c:v>
                </c:pt>
                <c:pt idx="1">
                  <c:v>More childcare facilities</c:v>
                </c:pt>
                <c:pt idx="2">
                  <c:v>Education reform</c:v>
                </c:pt>
                <c:pt idx="3">
                  <c:v>Resolving work and family conflict</c:v>
                </c:pt>
                <c:pt idx="4">
                  <c:v>More childcare responsibilities for father</c:v>
                </c:pt>
                <c:pt idx="5">
                  <c:v>Preventing discrimination against married women</c:v>
                </c:pt>
                <c:pt idx="6">
                  <c:v>Other</c:v>
                </c:pt>
              </c:strCache>
            </c:strRef>
          </c:cat>
          <c:val>
            <c:numRef>
              <c:f>'[ASFR_South Korea_v12.xlsx]Asan Poll'!$E$20:$K$20</c:f>
              <c:numCache>
                <c:formatCode>0.0%</c:formatCode>
                <c:ptCount val="7"/>
                <c:pt idx="0">
                  <c:v>0.22700000000000001</c:v>
                </c:pt>
                <c:pt idx="1">
                  <c:v>9.0999999999999998E-2</c:v>
                </c:pt>
                <c:pt idx="2">
                  <c:v>6.0999999999999999E-2</c:v>
                </c:pt>
                <c:pt idx="3">
                  <c:v>0.42399999999999999</c:v>
                </c:pt>
                <c:pt idx="4">
                  <c:v>4.4999999999999998E-2</c:v>
                </c:pt>
                <c:pt idx="5">
                  <c:v>0.152</c:v>
                </c:pt>
                <c:pt idx="6">
                  <c:v>0</c:v>
                </c:pt>
              </c:numCache>
            </c:numRef>
          </c:val>
          <c:extLst xmlns:c16r2="http://schemas.microsoft.com/office/drawing/2015/06/chart">
            <c:ext xmlns:c16="http://schemas.microsoft.com/office/drawing/2014/chart" uri="{C3380CC4-5D6E-409C-BE32-E72D297353CC}">
              <c16:uniqueId val="{00000002-DFDE-44A3-8AC2-80C4B5528DB1}"/>
            </c:ext>
          </c:extLst>
        </c:ser>
        <c:ser>
          <c:idx val="3"/>
          <c:order val="3"/>
          <c:tx>
            <c:strRef>
              <c:f>'[ASFR_South Korea_v12.xlsx]Asan Poll'!$D$21</c:f>
              <c:strCache>
                <c:ptCount val="1"/>
                <c:pt idx="0">
                  <c:v>Women 30's</c:v>
                </c:pt>
              </c:strCache>
            </c:strRef>
          </c:tx>
          <c:spPr>
            <a:solidFill>
              <a:schemeClr val="accent2">
                <a:lumMod val="40000"/>
                <a:lumOff val="60000"/>
              </a:schemeClr>
            </a:solidFill>
            <a:ln>
              <a:solidFill>
                <a:schemeClr val="tx1"/>
              </a:solidFill>
            </a:ln>
          </c:spPr>
          <c:invertIfNegative val="0"/>
          <c:cat>
            <c:strRef>
              <c:f>'[ASFR_South Korea_v12.xlsx]Asan Poll'!$E$16:$K$16</c:f>
              <c:strCache>
                <c:ptCount val="7"/>
                <c:pt idx="0">
                  <c:v>Extended financial support from the government</c:v>
                </c:pt>
                <c:pt idx="1">
                  <c:v>More childcare facilities</c:v>
                </c:pt>
                <c:pt idx="2">
                  <c:v>Education reform</c:v>
                </c:pt>
                <c:pt idx="3">
                  <c:v>Resolving work and family conflict</c:v>
                </c:pt>
                <c:pt idx="4">
                  <c:v>More childcare responsibilities for father</c:v>
                </c:pt>
                <c:pt idx="5">
                  <c:v>Preventing discrimination against married women</c:v>
                </c:pt>
                <c:pt idx="6">
                  <c:v>Other</c:v>
                </c:pt>
              </c:strCache>
            </c:strRef>
          </c:cat>
          <c:val>
            <c:numRef>
              <c:f>'[ASFR_South Korea_v12.xlsx]Asan Poll'!$E$21:$K$21</c:f>
              <c:numCache>
                <c:formatCode>0.0%</c:formatCode>
                <c:ptCount val="7"/>
                <c:pt idx="0">
                  <c:v>0.17899999999999999</c:v>
                </c:pt>
                <c:pt idx="1">
                  <c:v>0.161</c:v>
                </c:pt>
                <c:pt idx="2">
                  <c:v>0.161</c:v>
                </c:pt>
                <c:pt idx="3">
                  <c:v>0.30399999999999999</c:v>
                </c:pt>
                <c:pt idx="4">
                  <c:v>3.5999999999999997E-2</c:v>
                </c:pt>
                <c:pt idx="5">
                  <c:v>0.125</c:v>
                </c:pt>
                <c:pt idx="6">
                  <c:v>3.5999999999999997E-2</c:v>
                </c:pt>
              </c:numCache>
            </c:numRef>
          </c:val>
          <c:extLst xmlns:c16r2="http://schemas.microsoft.com/office/drawing/2015/06/chart">
            <c:ext xmlns:c16="http://schemas.microsoft.com/office/drawing/2014/chart" uri="{C3380CC4-5D6E-409C-BE32-E72D297353CC}">
              <c16:uniqueId val="{00000003-DFDE-44A3-8AC2-80C4B5528DB1}"/>
            </c:ext>
          </c:extLst>
        </c:ser>
        <c:dLbls>
          <c:showLegendKey val="0"/>
          <c:showVal val="0"/>
          <c:showCatName val="0"/>
          <c:showSerName val="0"/>
          <c:showPercent val="0"/>
          <c:showBubbleSize val="0"/>
        </c:dLbls>
        <c:gapWidth val="160"/>
        <c:overlap val="-35"/>
        <c:axId val="268129792"/>
        <c:axId val="268131328"/>
      </c:barChart>
      <c:catAx>
        <c:axId val="268129792"/>
        <c:scaling>
          <c:orientation val="minMax"/>
        </c:scaling>
        <c:delete val="0"/>
        <c:axPos val="b"/>
        <c:numFmt formatCode="General" sourceLinked="0"/>
        <c:majorTickMark val="out"/>
        <c:minorTickMark val="none"/>
        <c:tickLblPos val="nextTo"/>
        <c:txPr>
          <a:bodyPr/>
          <a:lstStyle/>
          <a:p>
            <a:pPr>
              <a:defRPr sz="700"/>
            </a:pPr>
            <a:endParaRPr lang="ko-KR"/>
          </a:p>
        </c:txPr>
        <c:crossAx val="268131328"/>
        <c:crosses val="autoZero"/>
        <c:auto val="1"/>
        <c:lblAlgn val="ctr"/>
        <c:lblOffset val="100"/>
        <c:noMultiLvlLbl val="0"/>
      </c:catAx>
      <c:valAx>
        <c:axId val="268131328"/>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noFill/>
          </a:ln>
        </c:spPr>
        <c:txPr>
          <a:bodyPr/>
          <a:lstStyle/>
          <a:p>
            <a:pPr>
              <a:defRPr sz="900"/>
            </a:pPr>
            <a:endParaRPr lang="ko-KR"/>
          </a:p>
        </c:txPr>
        <c:crossAx val="268129792"/>
        <c:crosses val="autoZero"/>
        <c:crossBetween val="between"/>
        <c:majorUnit val="0.1"/>
      </c:valAx>
      <c:spPr>
        <a:ln>
          <a:noFill/>
        </a:ln>
      </c:spPr>
    </c:plotArea>
    <c:legend>
      <c:legendPos val="r"/>
      <c:layout>
        <c:manualLayout>
          <c:xMode val="edge"/>
          <c:yMode val="edge"/>
          <c:x val="0.81041965690825568"/>
          <c:y val="0.1295703526189661"/>
          <c:w val="0.16247330385071729"/>
          <c:h val="0.27595663066820203"/>
        </c:manualLayout>
      </c:layout>
      <c:overlay val="0"/>
      <c:spPr>
        <a:solidFill>
          <a:schemeClr val="bg1"/>
        </a:solidFill>
        <a:ln>
          <a:solidFill>
            <a:schemeClr val="tx1"/>
          </a:solidFill>
        </a:ln>
      </c:spPr>
      <c:txPr>
        <a:bodyPr/>
        <a:lstStyle/>
        <a:p>
          <a:pPr>
            <a:defRPr sz="800"/>
          </a:pPr>
          <a:endParaRPr lang="ko-KR"/>
        </a:p>
      </c:txPr>
    </c:legend>
    <c:plotVisOnly val="1"/>
    <c:dispBlanksAs val="gap"/>
    <c:showDLblsOverMax val="0"/>
  </c:chart>
  <c:spPr>
    <a:ln>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latin typeface="+mn-lt"/>
              </a:defRPr>
            </a:pPr>
            <a:r>
              <a:rPr lang="en-US" altLang="ko-KR" sz="850" b="0" i="0" u="none" strike="noStrike" baseline="0">
                <a:effectLst/>
                <a:latin typeface="+mn-lt"/>
              </a:rPr>
              <a:t>Q: Why do you think women at work tend to avoid having children? </a:t>
            </a:r>
            <a:endParaRPr lang="ko-KR" altLang="en-US" sz="850" b="0">
              <a:latin typeface="+mn-lt"/>
            </a:endParaRPr>
          </a:p>
        </c:rich>
      </c:tx>
      <c:layout>
        <c:manualLayout>
          <c:xMode val="edge"/>
          <c:yMode val="edge"/>
          <c:x val="0.17011961044933488"/>
          <c:y val="1.8850546342049579E-2"/>
        </c:manualLayout>
      </c:layout>
      <c:overlay val="0"/>
      <c:spPr>
        <a:ln>
          <a:noFill/>
        </a:ln>
      </c:spPr>
    </c:title>
    <c:autoTitleDeleted val="0"/>
    <c:plotArea>
      <c:layout>
        <c:manualLayout>
          <c:layoutTarget val="inner"/>
          <c:xMode val="edge"/>
          <c:yMode val="edge"/>
          <c:x val="7.1576765158309019E-2"/>
          <c:y val="0.10451075239736347"/>
          <c:w val="0.91043419060672026"/>
          <c:h val="0.67490398955282704"/>
        </c:manualLayout>
      </c:layout>
      <c:barChart>
        <c:barDir val="col"/>
        <c:grouping val="clustered"/>
        <c:varyColors val="0"/>
        <c:ser>
          <c:idx val="0"/>
          <c:order val="0"/>
          <c:tx>
            <c:strRef>
              <c:f>'[ASFR_South Korea_v12.xlsx]Asan Poll'!$D$28</c:f>
              <c:strCache>
                <c:ptCount val="1"/>
                <c:pt idx="0">
                  <c:v>Men 20's</c:v>
                </c:pt>
              </c:strCache>
            </c:strRef>
          </c:tx>
          <c:spPr>
            <a:solidFill>
              <a:schemeClr val="tx2">
                <a:lumMod val="20000"/>
                <a:lumOff val="80000"/>
              </a:schemeClr>
            </a:solidFill>
            <a:ln>
              <a:solidFill>
                <a:schemeClr val="tx1"/>
              </a:solidFill>
            </a:ln>
          </c:spPr>
          <c:invertIfNegative val="0"/>
          <c:cat>
            <c:strRef>
              <c:f>'[ASFR_South Korea_v12.xlsx]Asan Poll'!$E$27:$J$27</c:f>
              <c:strCache>
                <c:ptCount val="6"/>
                <c:pt idx="0">
                  <c:v>Fear of losing my job</c:v>
                </c:pt>
                <c:pt idx="1">
                  <c:v> Little guidelines on taking parental or maternity leave</c:v>
                </c:pt>
                <c:pt idx="2">
                  <c:v>Poor management at work relating to parental or maternity leave </c:v>
                </c:pt>
                <c:pt idx="3">
                  <c:v>Lack of childcare facilities at work</c:v>
                </c:pt>
                <c:pt idx="4">
                  <c:v>Lack of housework sharing with my husband</c:v>
                </c:pt>
                <c:pt idx="5">
                  <c:v>Other</c:v>
                </c:pt>
              </c:strCache>
            </c:strRef>
          </c:cat>
          <c:val>
            <c:numRef>
              <c:f>'[ASFR_South Korea_v12.xlsx]Asan Poll'!$E$28:$J$28</c:f>
              <c:numCache>
                <c:formatCode>0.0%</c:formatCode>
                <c:ptCount val="6"/>
                <c:pt idx="0">
                  <c:v>0.41599999999999998</c:v>
                </c:pt>
                <c:pt idx="1">
                  <c:v>0.22500000000000001</c:v>
                </c:pt>
                <c:pt idx="2">
                  <c:v>0.09</c:v>
                </c:pt>
                <c:pt idx="3">
                  <c:v>0.18</c:v>
                </c:pt>
                <c:pt idx="4">
                  <c:v>1.0999999999999999E-2</c:v>
                </c:pt>
                <c:pt idx="5">
                  <c:v>7.8E-2</c:v>
                </c:pt>
              </c:numCache>
            </c:numRef>
          </c:val>
          <c:extLst xmlns:c16r2="http://schemas.microsoft.com/office/drawing/2015/06/chart">
            <c:ext xmlns:c16="http://schemas.microsoft.com/office/drawing/2014/chart" uri="{C3380CC4-5D6E-409C-BE32-E72D297353CC}">
              <c16:uniqueId val="{00000000-2DAF-401E-B0E2-AB597A602E49}"/>
            </c:ext>
          </c:extLst>
        </c:ser>
        <c:ser>
          <c:idx val="1"/>
          <c:order val="1"/>
          <c:tx>
            <c:strRef>
              <c:f>'[ASFR_South Korea_v12.xlsx]Asan Poll'!$D$29</c:f>
              <c:strCache>
                <c:ptCount val="1"/>
                <c:pt idx="0">
                  <c:v>Men 30's</c:v>
                </c:pt>
              </c:strCache>
            </c:strRef>
          </c:tx>
          <c:spPr>
            <a:solidFill>
              <a:schemeClr val="tx2">
                <a:lumMod val="40000"/>
                <a:lumOff val="60000"/>
              </a:schemeClr>
            </a:solidFill>
            <a:ln>
              <a:solidFill>
                <a:schemeClr val="tx1"/>
              </a:solidFill>
            </a:ln>
          </c:spPr>
          <c:invertIfNegative val="0"/>
          <c:cat>
            <c:strRef>
              <c:f>'[ASFR_South Korea_v12.xlsx]Asan Poll'!$E$27:$J$27</c:f>
              <c:strCache>
                <c:ptCount val="6"/>
                <c:pt idx="0">
                  <c:v>Fear of losing my job</c:v>
                </c:pt>
                <c:pt idx="1">
                  <c:v> Little guidelines on taking parental or maternity leave</c:v>
                </c:pt>
                <c:pt idx="2">
                  <c:v>Poor management at work relating to parental or maternity leave </c:v>
                </c:pt>
                <c:pt idx="3">
                  <c:v>Lack of childcare facilities at work</c:v>
                </c:pt>
                <c:pt idx="4">
                  <c:v>Lack of housework sharing with my husband</c:v>
                </c:pt>
                <c:pt idx="5">
                  <c:v>Other</c:v>
                </c:pt>
              </c:strCache>
            </c:strRef>
          </c:cat>
          <c:val>
            <c:numRef>
              <c:f>'[ASFR_South Korea_v12.xlsx]Asan Poll'!$E$29:$J$29</c:f>
              <c:numCache>
                <c:formatCode>0.0%</c:formatCode>
                <c:ptCount val="6"/>
                <c:pt idx="0">
                  <c:v>0.44400000000000001</c:v>
                </c:pt>
                <c:pt idx="1">
                  <c:v>0.17299999999999999</c:v>
                </c:pt>
                <c:pt idx="2">
                  <c:v>0.16</c:v>
                </c:pt>
                <c:pt idx="3">
                  <c:v>0.16</c:v>
                </c:pt>
                <c:pt idx="4">
                  <c:v>1.2E-2</c:v>
                </c:pt>
                <c:pt idx="5">
                  <c:v>4.9000000000000002E-2</c:v>
                </c:pt>
              </c:numCache>
            </c:numRef>
          </c:val>
          <c:extLst xmlns:c16r2="http://schemas.microsoft.com/office/drawing/2015/06/chart">
            <c:ext xmlns:c16="http://schemas.microsoft.com/office/drawing/2014/chart" uri="{C3380CC4-5D6E-409C-BE32-E72D297353CC}">
              <c16:uniqueId val="{00000001-2DAF-401E-B0E2-AB597A602E49}"/>
            </c:ext>
          </c:extLst>
        </c:ser>
        <c:ser>
          <c:idx val="2"/>
          <c:order val="2"/>
          <c:tx>
            <c:strRef>
              <c:f>'[ASFR_South Korea_v12.xlsx]Asan Poll'!$D$31</c:f>
              <c:strCache>
                <c:ptCount val="1"/>
                <c:pt idx="0">
                  <c:v>Women 20's</c:v>
                </c:pt>
              </c:strCache>
            </c:strRef>
          </c:tx>
          <c:spPr>
            <a:solidFill>
              <a:schemeClr val="accent2">
                <a:lumMod val="20000"/>
                <a:lumOff val="80000"/>
              </a:schemeClr>
            </a:solidFill>
            <a:ln>
              <a:solidFill>
                <a:schemeClr val="tx1"/>
              </a:solidFill>
            </a:ln>
          </c:spPr>
          <c:invertIfNegative val="0"/>
          <c:cat>
            <c:strRef>
              <c:f>'[ASFR_South Korea_v12.xlsx]Asan Poll'!$E$27:$J$27</c:f>
              <c:strCache>
                <c:ptCount val="6"/>
                <c:pt idx="0">
                  <c:v>Fear of losing my job</c:v>
                </c:pt>
                <c:pt idx="1">
                  <c:v> Little guidelines on taking parental or maternity leave</c:v>
                </c:pt>
                <c:pt idx="2">
                  <c:v>Poor management at work relating to parental or maternity leave </c:v>
                </c:pt>
                <c:pt idx="3">
                  <c:v>Lack of childcare facilities at work</c:v>
                </c:pt>
                <c:pt idx="4">
                  <c:v>Lack of housework sharing with my husband</c:v>
                </c:pt>
                <c:pt idx="5">
                  <c:v>Other</c:v>
                </c:pt>
              </c:strCache>
            </c:strRef>
          </c:cat>
          <c:val>
            <c:numRef>
              <c:f>'[ASFR_South Korea_v12.xlsx]Asan Poll'!$E$31:$J$31</c:f>
              <c:numCache>
                <c:formatCode>0.0%</c:formatCode>
                <c:ptCount val="6"/>
                <c:pt idx="0">
                  <c:v>0.45500000000000002</c:v>
                </c:pt>
                <c:pt idx="1">
                  <c:v>0.16700000000000001</c:v>
                </c:pt>
                <c:pt idx="2">
                  <c:v>9.0999999999999998E-2</c:v>
                </c:pt>
                <c:pt idx="3">
                  <c:v>0.19700000000000001</c:v>
                </c:pt>
                <c:pt idx="4">
                  <c:v>9.0999999999999998E-2</c:v>
                </c:pt>
                <c:pt idx="5">
                  <c:v>0</c:v>
                </c:pt>
              </c:numCache>
            </c:numRef>
          </c:val>
          <c:extLst xmlns:c16r2="http://schemas.microsoft.com/office/drawing/2015/06/chart">
            <c:ext xmlns:c16="http://schemas.microsoft.com/office/drawing/2014/chart" uri="{C3380CC4-5D6E-409C-BE32-E72D297353CC}">
              <c16:uniqueId val="{00000002-2DAF-401E-B0E2-AB597A602E49}"/>
            </c:ext>
          </c:extLst>
        </c:ser>
        <c:ser>
          <c:idx val="3"/>
          <c:order val="3"/>
          <c:tx>
            <c:strRef>
              <c:f>'[ASFR_South Korea_v12.xlsx]Asan Poll'!$D$32</c:f>
              <c:strCache>
                <c:ptCount val="1"/>
                <c:pt idx="0">
                  <c:v>Women 30's</c:v>
                </c:pt>
              </c:strCache>
            </c:strRef>
          </c:tx>
          <c:spPr>
            <a:solidFill>
              <a:schemeClr val="accent2">
                <a:lumMod val="40000"/>
                <a:lumOff val="60000"/>
              </a:schemeClr>
            </a:solidFill>
            <a:ln>
              <a:solidFill>
                <a:schemeClr val="tx1"/>
              </a:solidFill>
            </a:ln>
          </c:spPr>
          <c:invertIfNegative val="0"/>
          <c:cat>
            <c:strRef>
              <c:f>'[ASFR_South Korea_v12.xlsx]Asan Poll'!$E$27:$J$27</c:f>
              <c:strCache>
                <c:ptCount val="6"/>
                <c:pt idx="0">
                  <c:v>Fear of losing my job</c:v>
                </c:pt>
                <c:pt idx="1">
                  <c:v> Little guidelines on taking parental or maternity leave</c:v>
                </c:pt>
                <c:pt idx="2">
                  <c:v>Poor management at work relating to parental or maternity leave </c:v>
                </c:pt>
                <c:pt idx="3">
                  <c:v>Lack of childcare facilities at work</c:v>
                </c:pt>
                <c:pt idx="4">
                  <c:v>Lack of housework sharing with my husband</c:v>
                </c:pt>
                <c:pt idx="5">
                  <c:v>Other</c:v>
                </c:pt>
              </c:strCache>
            </c:strRef>
          </c:cat>
          <c:val>
            <c:numRef>
              <c:f>'[ASFR_South Korea_v12.xlsx]Asan Poll'!$E$32:$J$32</c:f>
              <c:numCache>
                <c:formatCode>0.0%</c:formatCode>
                <c:ptCount val="6"/>
                <c:pt idx="0">
                  <c:v>0.42899999999999999</c:v>
                </c:pt>
                <c:pt idx="1">
                  <c:v>0.19600000000000001</c:v>
                </c:pt>
                <c:pt idx="2">
                  <c:v>8.8999999999999996E-2</c:v>
                </c:pt>
                <c:pt idx="3">
                  <c:v>0.25</c:v>
                </c:pt>
                <c:pt idx="4">
                  <c:v>1.7999999999999999E-2</c:v>
                </c:pt>
                <c:pt idx="5">
                  <c:v>1.7999999999999999E-2</c:v>
                </c:pt>
              </c:numCache>
            </c:numRef>
          </c:val>
          <c:extLst xmlns:c16r2="http://schemas.microsoft.com/office/drawing/2015/06/chart">
            <c:ext xmlns:c16="http://schemas.microsoft.com/office/drawing/2014/chart" uri="{C3380CC4-5D6E-409C-BE32-E72D297353CC}">
              <c16:uniqueId val="{00000003-2DAF-401E-B0E2-AB597A602E49}"/>
            </c:ext>
          </c:extLst>
        </c:ser>
        <c:dLbls>
          <c:showLegendKey val="0"/>
          <c:showVal val="0"/>
          <c:showCatName val="0"/>
          <c:showSerName val="0"/>
          <c:showPercent val="0"/>
          <c:showBubbleSize val="0"/>
        </c:dLbls>
        <c:gapWidth val="160"/>
        <c:overlap val="-35"/>
        <c:axId val="268168192"/>
        <c:axId val="268169984"/>
      </c:barChart>
      <c:catAx>
        <c:axId val="268168192"/>
        <c:scaling>
          <c:orientation val="minMax"/>
        </c:scaling>
        <c:delete val="0"/>
        <c:axPos val="b"/>
        <c:numFmt formatCode="General" sourceLinked="0"/>
        <c:majorTickMark val="out"/>
        <c:minorTickMark val="none"/>
        <c:tickLblPos val="nextTo"/>
        <c:txPr>
          <a:bodyPr/>
          <a:lstStyle/>
          <a:p>
            <a:pPr>
              <a:defRPr sz="700"/>
            </a:pPr>
            <a:endParaRPr lang="ko-KR"/>
          </a:p>
        </c:txPr>
        <c:crossAx val="268169984"/>
        <c:crosses val="autoZero"/>
        <c:auto val="1"/>
        <c:lblAlgn val="ctr"/>
        <c:lblOffset val="100"/>
        <c:noMultiLvlLbl val="0"/>
      </c:catAx>
      <c:valAx>
        <c:axId val="268169984"/>
        <c:scaling>
          <c:orientation val="minMax"/>
        </c:scaling>
        <c:delete val="0"/>
        <c:axPos val="l"/>
        <c:majorGridlines>
          <c:spPr>
            <a:ln>
              <a:solidFill>
                <a:schemeClr val="bg1">
                  <a:lumMod val="75000"/>
                </a:schemeClr>
              </a:solidFill>
            </a:ln>
          </c:spPr>
        </c:majorGridlines>
        <c:numFmt formatCode="0%" sourceLinked="0"/>
        <c:majorTickMark val="out"/>
        <c:minorTickMark val="none"/>
        <c:tickLblPos val="nextTo"/>
        <c:spPr>
          <a:ln>
            <a:noFill/>
          </a:ln>
        </c:spPr>
        <c:txPr>
          <a:bodyPr/>
          <a:lstStyle/>
          <a:p>
            <a:pPr>
              <a:defRPr sz="900"/>
            </a:pPr>
            <a:endParaRPr lang="ko-KR"/>
          </a:p>
        </c:txPr>
        <c:crossAx val="268168192"/>
        <c:crosses val="autoZero"/>
        <c:crossBetween val="between"/>
        <c:majorUnit val="0.1"/>
      </c:valAx>
      <c:spPr>
        <a:ln>
          <a:noFill/>
        </a:ln>
      </c:spPr>
    </c:plotArea>
    <c:legend>
      <c:legendPos val="r"/>
      <c:layout>
        <c:manualLayout>
          <c:xMode val="edge"/>
          <c:yMode val="edge"/>
          <c:x val="0.80053509937860334"/>
          <c:y val="0.10338518883056284"/>
          <c:w val="0.17826142124862598"/>
          <c:h val="0.27147540770643513"/>
        </c:manualLayout>
      </c:layout>
      <c:overlay val="0"/>
      <c:spPr>
        <a:solidFill>
          <a:schemeClr val="bg1"/>
        </a:solidFill>
        <a:ln>
          <a:solidFill>
            <a:schemeClr val="tx1"/>
          </a:solidFill>
        </a:ln>
      </c:spPr>
      <c:txPr>
        <a:bodyPr/>
        <a:lstStyle/>
        <a:p>
          <a:pPr>
            <a:defRPr sz="800"/>
          </a:pPr>
          <a:endParaRPr lang="ko-KR"/>
        </a:p>
      </c:txPr>
    </c:legend>
    <c:plotVisOnly val="1"/>
    <c:dispBlanksAs val="gap"/>
    <c:showDLblsOverMax val="0"/>
  </c:chart>
  <c:spPr>
    <a:ln>
      <a:solidFill>
        <a:schemeClr val="tx1"/>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0.73683</cdr:x>
      <cdr:y>0.10934</cdr:y>
    </cdr:from>
    <cdr:to>
      <cdr:x>0.92903</cdr:x>
      <cdr:y>0.18017</cdr:y>
    </cdr:to>
    <cdr:sp macro="" textlink="">
      <cdr:nvSpPr>
        <cdr:cNvPr id="2" name="TextBox 1"/>
        <cdr:cNvSpPr txBox="1"/>
      </cdr:nvSpPr>
      <cdr:spPr>
        <a:xfrm xmlns:a="http://schemas.openxmlformats.org/drawingml/2006/main">
          <a:off x="4223156" y="384224"/>
          <a:ext cx="1101596" cy="2489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ko-KR" sz="1000" b="0"/>
            <a:t>Extrapolated</a:t>
          </a:r>
          <a:endParaRPr lang="ko-KR" altLang="en-US" sz="1000" b="0"/>
        </a:p>
      </cdr:txBody>
    </cdr:sp>
  </cdr:relSizeAnchor>
  <cdr:relSizeAnchor xmlns:cdr="http://schemas.openxmlformats.org/drawingml/2006/chartDrawing">
    <cdr:from>
      <cdr:x>0.72232</cdr:x>
      <cdr:y>0.14019</cdr:y>
    </cdr:from>
    <cdr:to>
      <cdr:x>0.75886</cdr:x>
      <cdr:y>0.17313</cdr:y>
    </cdr:to>
    <cdr:sp macro="" textlink="">
      <cdr:nvSpPr>
        <cdr:cNvPr id="3" name="오른쪽 화살표 2"/>
        <cdr:cNvSpPr/>
      </cdr:nvSpPr>
      <cdr:spPr>
        <a:xfrm xmlns:a="http://schemas.openxmlformats.org/drawingml/2006/main">
          <a:off x="4293154" y="510876"/>
          <a:ext cx="217179" cy="120042"/>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ko-KR"/>
        </a:p>
      </cdr:txBody>
    </cdr:sp>
  </cdr:relSizeAnchor>
</c:userShapes>
</file>

<file path=word/drawings/drawing2.xml><?xml version="1.0" encoding="utf-8"?>
<c:userShapes xmlns:c="http://schemas.openxmlformats.org/drawingml/2006/chart">
  <cdr:relSizeAnchor xmlns:cdr="http://schemas.openxmlformats.org/drawingml/2006/chartDrawing">
    <cdr:from>
      <cdr:x>0.69095</cdr:x>
      <cdr:y>0.04612</cdr:y>
    </cdr:from>
    <cdr:to>
      <cdr:x>0.69373</cdr:x>
      <cdr:y>0.82281</cdr:y>
    </cdr:to>
    <cdr:cxnSp macro="">
      <cdr:nvCxnSpPr>
        <cdr:cNvPr id="3" name="직선 연결선 2"/>
        <cdr:cNvCxnSpPr/>
      </cdr:nvCxnSpPr>
      <cdr:spPr>
        <a:xfrm xmlns:a="http://schemas.openxmlformats.org/drawingml/2006/main">
          <a:off x="3830316" y="140134"/>
          <a:ext cx="15411" cy="2359954"/>
        </a:xfrm>
        <a:prstGeom xmlns:a="http://schemas.openxmlformats.org/drawingml/2006/main" prst="line">
          <a:avLst/>
        </a:prstGeom>
        <a:ln xmlns:a="http://schemas.openxmlformats.org/drawingml/2006/main" w="158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0.71394</cdr:x>
      <cdr:y>0.37486</cdr:y>
    </cdr:from>
    <cdr:to>
      <cdr:x>0.75207</cdr:x>
      <cdr:y>0.40781</cdr:y>
    </cdr:to>
    <cdr:sp macro="" textlink="">
      <cdr:nvSpPr>
        <cdr:cNvPr id="4" name="오른쪽 화살표 3"/>
        <cdr:cNvSpPr/>
      </cdr:nvSpPr>
      <cdr:spPr>
        <a:xfrm xmlns:a="http://schemas.openxmlformats.org/drawingml/2006/main">
          <a:off x="4091501" y="1228018"/>
          <a:ext cx="218518" cy="107943"/>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ko-KR"/>
        </a:p>
      </cdr:txBody>
    </cdr:sp>
  </cdr:relSizeAnchor>
  <cdr:relSizeAnchor xmlns:cdr="http://schemas.openxmlformats.org/drawingml/2006/chartDrawing">
    <cdr:from>
      <cdr:x>0.74092</cdr:x>
      <cdr:y>0.33524</cdr:y>
    </cdr:from>
    <cdr:to>
      <cdr:x>0.92114</cdr:x>
      <cdr:y>0.42233</cdr:y>
    </cdr:to>
    <cdr:sp macro="" textlink="">
      <cdr:nvSpPr>
        <cdr:cNvPr id="5" name="TextBox 1"/>
        <cdr:cNvSpPr txBox="1"/>
      </cdr:nvSpPr>
      <cdr:spPr>
        <a:xfrm xmlns:a="http://schemas.openxmlformats.org/drawingml/2006/main">
          <a:off x="4246099" y="1098246"/>
          <a:ext cx="1032819" cy="2852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ko-KR" sz="1050" b="0"/>
            <a:t>Extrapolated</a:t>
          </a:r>
          <a:endParaRPr lang="ko-KR" altLang="en-US" sz="1050" b="0"/>
        </a:p>
      </cdr:txBody>
    </cdr:sp>
  </cdr:relSizeAnchor>
  <cdr:relSizeAnchor xmlns:cdr="http://schemas.openxmlformats.org/drawingml/2006/chartDrawing">
    <cdr:from>
      <cdr:x>0.42955</cdr:x>
      <cdr:y>0.16614</cdr:y>
    </cdr:from>
    <cdr:to>
      <cdr:x>0.55326</cdr:x>
      <cdr:y>0.29467</cdr:y>
    </cdr:to>
    <cdr:sp macro="" textlink="">
      <cdr:nvSpPr>
        <cdr:cNvPr id="2" name="모서리가 둥근 사각형 설명선 1"/>
        <cdr:cNvSpPr/>
      </cdr:nvSpPr>
      <cdr:spPr>
        <a:xfrm xmlns:a="http://schemas.openxmlformats.org/drawingml/2006/main">
          <a:off x="2381253" y="504825"/>
          <a:ext cx="685798" cy="390525"/>
        </a:xfrm>
        <a:prstGeom xmlns:a="http://schemas.openxmlformats.org/drawingml/2006/main" prst="wedgeRoundRectCallout">
          <a:avLst/>
        </a:prstGeom>
        <a:solidFill xmlns:a="http://schemas.openxmlformats.org/drawingml/2006/main">
          <a:srgbClr val="FFFF99"/>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lstStyle xmlns:a="http://schemas.openxmlformats.org/drawingml/2006/main"/>
        <a:p xmlns:a="http://schemas.openxmlformats.org/drawingml/2006/main">
          <a:pPr algn="ctr"/>
          <a:r>
            <a:rPr lang="en-US" altLang="ko-KR" sz="800" b="0">
              <a:solidFill>
                <a:sysClr val="windowText" lastClr="000000"/>
              </a:solidFill>
            </a:rPr>
            <a:t>Year</a:t>
          </a:r>
          <a:r>
            <a:rPr lang="en-US" altLang="ko-KR" sz="800" b="0" baseline="0">
              <a:solidFill>
                <a:sysClr val="windowText" lastClr="000000"/>
              </a:solidFill>
            </a:rPr>
            <a:t> of the golden pig</a:t>
          </a:r>
          <a:endParaRPr lang="ko-KR" sz="800" b="0">
            <a:solidFill>
              <a:sysClr val="windowText" lastClr="000000"/>
            </a:solidFill>
          </a:endParaRPr>
        </a:p>
      </cdr:txBody>
    </cdr:sp>
  </cdr:relSizeAnchor>
  <cdr:relSizeAnchor xmlns:cdr="http://schemas.openxmlformats.org/drawingml/2006/chartDrawing">
    <cdr:from>
      <cdr:x>0.23425</cdr:x>
      <cdr:y>0.13793</cdr:y>
    </cdr:from>
    <cdr:to>
      <cdr:x>0.39175</cdr:x>
      <cdr:y>0.21421</cdr:y>
    </cdr:to>
    <cdr:sp macro="" textlink="">
      <cdr:nvSpPr>
        <cdr:cNvPr id="7" name="모서리가 둥근 사각형 설명선 6"/>
        <cdr:cNvSpPr/>
      </cdr:nvSpPr>
      <cdr:spPr>
        <a:xfrm xmlns:a="http://schemas.openxmlformats.org/drawingml/2006/main">
          <a:off x="1298578" y="419100"/>
          <a:ext cx="873122" cy="231775"/>
        </a:xfrm>
        <a:prstGeom xmlns:a="http://schemas.openxmlformats.org/drawingml/2006/main" prst="wedgeRoundRectCallout">
          <a:avLst/>
        </a:prstGeom>
        <a:solidFill xmlns:a="http://schemas.openxmlformats.org/drawingml/2006/main">
          <a:srgbClr val="FFFF99"/>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p xmlns:a="http://schemas.openxmlformats.org/drawingml/2006/main">
          <a:pPr algn="ctr"/>
          <a:r>
            <a:rPr lang="en-US" altLang="ko-KR" sz="800">
              <a:solidFill>
                <a:sysClr val="windowText" lastClr="000000"/>
              </a:solidFill>
            </a:rPr>
            <a:t>Millennial</a:t>
          </a:r>
          <a:r>
            <a:rPr lang="en-US" altLang="ko-KR" sz="800" baseline="0">
              <a:solidFill>
                <a:sysClr val="windowText" lastClr="000000"/>
              </a:solidFill>
            </a:rPr>
            <a:t> year</a:t>
          </a:r>
          <a:endParaRPr lang="ko-KR" altLang="en-US" sz="800">
            <a:solidFill>
              <a:sysClr val="windowText" lastClr="000000"/>
            </a:solidFill>
          </a:endParaRPr>
        </a:p>
      </cdr:txBody>
    </cdr:sp>
  </cdr:relSizeAnchor>
  <cdr:relSizeAnchor xmlns:cdr="http://schemas.openxmlformats.org/drawingml/2006/chartDrawing">
    <cdr:from>
      <cdr:x>0.56415</cdr:x>
      <cdr:y>0.14838</cdr:y>
    </cdr:from>
    <cdr:to>
      <cdr:x>0.68385</cdr:x>
      <cdr:y>0.27691</cdr:y>
    </cdr:to>
    <cdr:sp macro="" textlink="">
      <cdr:nvSpPr>
        <cdr:cNvPr id="9" name="모서리가 둥근 사각형 설명선 8"/>
        <cdr:cNvSpPr/>
      </cdr:nvSpPr>
      <cdr:spPr>
        <a:xfrm xmlns:a="http://schemas.openxmlformats.org/drawingml/2006/main">
          <a:off x="3127378" y="450850"/>
          <a:ext cx="663572" cy="390525"/>
        </a:xfrm>
        <a:prstGeom xmlns:a="http://schemas.openxmlformats.org/drawingml/2006/main" prst="wedgeRoundRectCallout">
          <a:avLst/>
        </a:prstGeom>
        <a:solidFill xmlns:a="http://schemas.openxmlformats.org/drawingml/2006/main">
          <a:srgbClr val="FFFF99"/>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a:lstStyle xmlns:a="http://schemas.openxmlformats.org/drawingml/2006/main"/>
        <a:p xmlns:a="http://schemas.openxmlformats.org/drawingml/2006/main">
          <a:pPr algn="ctr"/>
          <a:r>
            <a:rPr lang="en-US" altLang="ko-KR" sz="800">
              <a:solidFill>
                <a:sysClr val="windowText" lastClr="000000"/>
              </a:solidFill>
            </a:rPr>
            <a:t>Year of</a:t>
          </a:r>
          <a:r>
            <a:rPr lang="en-US" altLang="ko-KR" sz="800" baseline="0">
              <a:solidFill>
                <a:sysClr val="windowText" lastClr="000000"/>
              </a:solidFill>
            </a:rPr>
            <a:t> the black dragon</a:t>
          </a:r>
          <a:r>
            <a:rPr lang="en-US" altLang="ko-KR" sz="800">
              <a:solidFill>
                <a:sysClr val="windowText" lastClr="000000"/>
              </a:solidFill>
            </a:rPr>
            <a:t> </a:t>
          </a:r>
          <a:endParaRPr lang="ko-KR" altLang="en-US" sz="800"/>
        </a:p>
      </cdr:txBody>
    </cdr:sp>
  </cdr:relSizeAnchor>
</c:userShape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08D414CE1FCF449FE6C31C9B1666DA" ma:contentTypeVersion="5" ma:contentTypeDescription="Create a new document." ma:contentTypeScope="" ma:versionID="31ba2b222ddcc8cfef4c53495368fd1f">
  <xsd:schema xmlns:xsd="http://www.w3.org/2001/XMLSchema" xmlns:xs="http://www.w3.org/2001/XMLSchema" xmlns:p="http://schemas.microsoft.com/office/2006/metadata/properties" xmlns:ns2="3d7a5f25-08aa-4c21-8bdb-3f2e05791b49" targetNamespace="http://schemas.microsoft.com/office/2006/metadata/properties" ma:root="true" ma:fieldsID="79a3d0f92b8e45fa7deabe35684b6eb0" ns2:_="">
    <xsd:import namespace="3d7a5f25-08aa-4c21-8bdb-3f2e05791b4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a5f25-08aa-4c21-8bdb-3f2e05791b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EEEF7-C021-4ACE-87DA-6179B67D13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39A88C-13F1-418C-8E70-C460879C7D2D}">
  <ds:schemaRefs>
    <ds:schemaRef ds:uri="http://schemas.microsoft.com/sharepoint/v3/contenttype/forms"/>
  </ds:schemaRefs>
</ds:datastoreItem>
</file>

<file path=customXml/itemProps3.xml><?xml version="1.0" encoding="utf-8"?>
<ds:datastoreItem xmlns:ds="http://schemas.openxmlformats.org/officeDocument/2006/customXml" ds:itemID="{7E0D9EE7-0C5F-484D-A047-E8C34EF93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a5f25-08aa-4c21-8bdb-3f2e05791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21CFE9-723B-4DDF-86F1-31F8C101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3659</Words>
  <Characters>20858</Characters>
  <Application>Microsoft Office Word</Application>
  <DocSecurity>0</DocSecurity>
  <Lines>173</Lines>
  <Paragraphs>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communications</dc:creator>
  <cp:lastModifiedBy>aaa</cp:lastModifiedBy>
  <cp:revision>31</cp:revision>
  <cp:lastPrinted>2017-02-01T23:45:00Z</cp:lastPrinted>
  <dcterms:created xsi:type="dcterms:W3CDTF">2017-02-07T10:55:00Z</dcterms:created>
  <dcterms:modified xsi:type="dcterms:W3CDTF">2017-02-08T07:38:00Z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0x0101007508D414CE1FCF449FE6C31C9B1666DA</vt:lpwstr>
  </property>
</Properties>
</file>